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02D48FA9" w:rsidR="00BA794A" w:rsidRPr="00A850FE" w:rsidRDefault="00BA794A" w:rsidP="00A64A7C">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A64A7C">
        <w:rPr>
          <w:sz w:val="24"/>
          <w:szCs w:val="24"/>
        </w:rPr>
        <w:t>66</w:t>
      </w:r>
      <w:r w:rsidRPr="00A850FE">
        <w:rPr>
          <w:sz w:val="24"/>
          <w:szCs w:val="24"/>
        </w:rPr>
        <w:t>/202</w:t>
      </w:r>
      <w:r w:rsidR="00920E6D">
        <w:rPr>
          <w:sz w:val="24"/>
          <w:szCs w:val="24"/>
        </w:rPr>
        <w:t>5</w:t>
      </w:r>
      <w:r w:rsidRPr="00A850FE">
        <w:rPr>
          <w:sz w:val="24"/>
          <w:szCs w:val="24"/>
        </w:rPr>
        <w:t xml:space="preserve"> /</w:t>
      </w:r>
      <w:r w:rsidR="00A64A7C">
        <w:rPr>
          <w:sz w:val="24"/>
          <w:szCs w:val="24"/>
        </w:rPr>
        <w:t>14</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477856F9" w:rsidR="00BA794A" w:rsidRPr="00A850FE" w:rsidRDefault="00BA794A" w:rsidP="00A64A7C">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A64A7C">
        <w:rPr>
          <w:sz w:val="24"/>
          <w:szCs w:val="24"/>
        </w:rPr>
        <w:t>18</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1A6C236D" w:rsidR="00D426A7" w:rsidRPr="00F13287" w:rsidRDefault="00D426A7" w:rsidP="00A64A7C">
      <w:pPr>
        <w:bidi w:val="0"/>
        <w:spacing w:line="360" w:lineRule="auto"/>
        <w:jc w:val="both"/>
        <w:rPr>
          <w:szCs w:val="24"/>
          <w:rtl/>
        </w:rPr>
      </w:pPr>
      <w:r w:rsidRPr="00F13287">
        <w:rPr>
          <w:szCs w:val="24"/>
        </w:rPr>
        <w:t>: Tender Number: [</w:t>
      </w:r>
      <w:r w:rsidR="00A64A7C">
        <w:rPr>
          <w:szCs w:val="24"/>
        </w:rPr>
        <w:t>66</w:t>
      </w:r>
      <w:r>
        <w:rPr>
          <w:szCs w:val="24"/>
        </w:rPr>
        <w:t>/202</w:t>
      </w:r>
      <w:r w:rsidR="00920E6D">
        <w:rPr>
          <w:szCs w:val="24"/>
        </w:rPr>
        <w:t>5</w:t>
      </w:r>
      <w:r>
        <w:rPr>
          <w:szCs w:val="24"/>
        </w:rPr>
        <w:t>/</w:t>
      </w:r>
      <w:r w:rsidR="00A64A7C">
        <w:rPr>
          <w:szCs w:val="24"/>
        </w:rPr>
        <w:t>14</w:t>
      </w:r>
      <w:r w:rsidRPr="00F13287">
        <w:rPr>
          <w:szCs w:val="24"/>
        </w:rPr>
        <w:t>]</w:t>
      </w:r>
    </w:p>
    <w:p w14:paraId="1DACD1ED" w14:textId="2C0B7D71" w:rsidR="00D426A7" w:rsidRDefault="00D426A7" w:rsidP="00A64A7C">
      <w:pPr>
        <w:bidi w:val="0"/>
        <w:spacing w:line="360" w:lineRule="auto"/>
        <w:jc w:val="both"/>
        <w:rPr>
          <w:szCs w:val="24"/>
        </w:rPr>
      </w:pPr>
      <w:r w:rsidRPr="00F13287">
        <w:rPr>
          <w:szCs w:val="24"/>
        </w:rPr>
        <w:t>Letter of Invitation  Number: [</w:t>
      </w:r>
      <w:r w:rsidR="00A64A7C">
        <w:rPr>
          <w:szCs w:val="24"/>
        </w:rPr>
        <w:t>18</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ADE38" w14:textId="77777777" w:rsidR="008831BD" w:rsidRDefault="008831BD">
      <w:pPr>
        <w:spacing w:after="0" w:line="240" w:lineRule="auto"/>
      </w:pPr>
      <w:r>
        <w:separator/>
      </w:r>
    </w:p>
  </w:endnote>
  <w:endnote w:type="continuationSeparator" w:id="0">
    <w:p w14:paraId="2FB18B47" w14:textId="77777777" w:rsidR="008831BD" w:rsidRDefault="00883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4671A360" w:rsidR="00D426A7" w:rsidRDefault="00D426A7" w:rsidP="006637FD">
    <w:pPr>
      <w:pStyle w:val="Footer"/>
      <w:jc w:val="center"/>
    </w:pPr>
    <w:r>
      <w:fldChar w:fldCharType="begin"/>
    </w:r>
    <w:r>
      <w:instrText xml:space="preserve"> PAGE   \* MERGEFORMAT </w:instrText>
    </w:r>
    <w:r>
      <w:fldChar w:fldCharType="separate"/>
    </w:r>
    <w:r w:rsidR="00A64A7C">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3B3F9" w14:textId="77777777" w:rsidR="008831BD" w:rsidRDefault="008831BD">
      <w:pPr>
        <w:spacing w:after="0" w:line="240" w:lineRule="auto"/>
      </w:pPr>
      <w:r>
        <w:separator/>
      </w:r>
    </w:p>
  </w:footnote>
  <w:footnote w:type="continuationSeparator" w:id="0">
    <w:p w14:paraId="49024EF4" w14:textId="77777777" w:rsidR="008831BD" w:rsidRDefault="00883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57C97761"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A64A7C">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8831B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301F192C"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A64A7C">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0519F2D3"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A64A7C">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4B238B33"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A64A7C">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56881"/>
    <w:rsid w:val="00327069"/>
    <w:rsid w:val="00436793"/>
    <w:rsid w:val="00462E5C"/>
    <w:rsid w:val="004711AC"/>
    <w:rsid w:val="004F1405"/>
    <w:rsid w:val="005B7B2E"/>
    <w:rsid w:val="006207AA"/>
    <w:rsid w:val="00641877"/>
    <w:rsid w:val="00656225"/>
    <w:rsid w:val="00664945"/>
    <w:rsid w:val="00731962"/>
    <w:rsid w:val="007850FD"/>
    <w:rsid w:val="007A10BF"/>
    <w:rsid w:val="007C7CA3"/>
    <w:rsid w:val="008831BD"/>
    <w:rsid w:val="00920E6D"/>
    <w:rsid w:val="009318D5"/>
    <w:rsid w:val="0094147D"/>
    <w:rsid w:val="009511D6"/>
    <w:rsid w:val="00975261"/>
    <w:rsid w:val="009A4A48"/>
    <w:rsid w:val="00A64A7C"/>
    <w:rsid w:val="00AA6FE4"/>
    <w:rsid w:val="00AA7B65"/>
    <w:rsid w:val="00B646B5"/>
    <w:rsid w:val="00BA794A"/>
    <w:rsid w:val="00BD478B"/>
    <w:rsid w:val="00BD7EF4"/>
    <w:rsid w:val="00C364EA"/>
    <w:rsid w:val="00CC441A"/>
    <w:rsid w:val="00D426A7"/>
    <w:rsid w:val="00D772F6"/>
    <w:rsid w:val="00EC44E1"/>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23</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2024-01-16T09:59:00Z</dcterms:created>
  <dcterms:modified xsi:type="dcterms:W3CDTF">2025-03-17T07:11:00Z</dcterms:modified>
</cp:coreProperties>
</file>