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55BD8AE4"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766FD6">
        <w:rPr>
          <w:rFonts w:asciiTheme="minorBidi" w:hAnsiTheme="minorBidi"/>
          <w:sz w:val="32"/>
          <w:szCs w:val="32"/>
        </w:rPr>
        <w:t>94</w:t>
      </w:r>
      <w:r w:rsidR="008A253F">
        <w:rPr>
          <w:rFonts w:asciiTheme="minorBidi" w:hAnsiTheme="minorBidi"/>
          <w:sz w:val="32"/>
          <w:szCs w:val="32"/>
        </w:rPr>
        <w:t>/2024/</w:t>
      </w:r>
      <w:r w:rsidR="00766FD6">
        <w:rPr>
          <w:rFonts w:asciiTheme="minorBidi" w:hAnsiTheme="minorBidi"/>
          <w:sz w:val="32"/>
          <w:szCs w:val="32"/>
        </w:rPr>
        <w:t>9R</w:t>
      </w:r>
    </w:p>
    <w:p w14:paraId="14660969" w14:textId="5F2695B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C64AF">
        <w:rPr>
          <w:rFonts w:asciiTheme="minorBidi" w:hAnsiTheme="minorBidi"/>
          <w:sz w:val="32"/>
          <w:szCs w:val="32"/>
          <w:highlight w:val="yellow"/>
        </w:rPr>
        <w:t>2</w:t>
      </w:r>
      <w:r w:rsidR="00F6441B">
        <w:rPr>
          <w:rFonts w:asciiTheme="minorBidi" w:hAnsiTheme="minorBidi"/>
          <w:sz w:val="32"/>
          <w:szCs w:val="32"/>
          <w:highlight w:val="yellow"/>
        </w:rPr>
        <w:t>9</w:t>
      </w:r>
      <w:r w:rsidR="00DE6F40" w:rsidRPr="006F20C2">
        <w:rPr>
          <w:rFonts w:asciiTheme="minorBidi" w:hAnsiTheme="minorBidi"/>
          <w:sz w:val="32"/>
          <w:szCs w:val="32"/>
          <w:highlight w:val="yellow"/>
        </w:rPr>
        <w:t>/</w:t>
      </w:r>
      <w:r w:rsidR="00DB65D8">
        <w:rPr>
          <w:rFonts w:asciiTheme="minorBidi" w:hAnsiTheme="minorBidi"/>
          <w:sz w:val="32"/>
          <w:szCs w:val="32"/>
          <w:highlight w:val="yellow"/>
        </w:rPr>
        <w:t>9</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C365D40"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F6441B">
        <w:rPr>
          <w:rFonts w:asciiTheme="minorBidi" w:hAnsiTheme="minorBidi"/>
          <w:sz w:val="32"/>
          <w:szCs w:val="32"/>
          <w:highlight w:val="yellow"/>
        </w:rPr>
        <w:t>28</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BC28394"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DC64AF">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A32D8B2"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766FD6">
        <w:rPr>
          <w:rFonts w:asciiTheme="minorBidi" w:hAnsiTheme="minorBidi"/>
          <w:b/>
          <w:bCs/>
          <w:sz w:val="32"/>
          <w:szCs w:val="32"/>
          <w:highlight w:val="yellow"/>
        </w:rPr>
        <w:t>94</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8A253F" w:rsidRPr="00E375A5">
        <w:rPr>
          <w:rFonts w:asciiTheme="minorBidi" w:hAnsiTheme="minorBidi"/>
          <w:b/>
          <w:bCs/>
          <w:sz w:val="32"/>
          <w:szCs w:val="32"/>
          <w:highlight w:val="yellow"/>
        </w:rPr>
        <w:t>/</w:t>
      </w:r>
      <w:r w:rsidR="00766FD6" w:rsidRPr="00F40C2E">
        <w:rPr>
          <w:rFonts w:asciiTheme="minorBidi" w:hAnsiTheme="minorBidi"/>
          <w:b/>
          <w:bCs/>
          <w:sz w:val="32"/>
          <w:szCs w:val="32"/>
          <w:highlight w:val="yellow"/>
        </w:rPr>
        <w:t>9R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75BC1076"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DC64AF">
        <w:rPr>
          <w:rFonts w:asciiTheme="minorBidi" w:hAnsiTheme="minorBidi"/>
          <w:sz w:val="28"/>
          <w:szCs w:val="28"/>
          <w:highlight w:val="yellow"/>
        </w:rPr>
        <w:t>2</w:t>
      </w:r>
      <w:r w:rsidR="00F6441B">
        <w:rPr>
          <w:rFonts w:asciiTheme="minorBidi" w:hAnsiTheme="minorBidi"/>
          <w:sz w:val="28"/>
          <w:szCs w:val="28"/>
          <w:highlight w:val="yellow"/>
        </w:rPr>
        <w:t>8</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DC64AF">
        <w:rPr>
          <w:rFonts w:asciiTheme="minorBidi" w:hAnsiTheme="minorBidi"/>
          <w:sz w:val="28"/>
          <w:szCs w:val="28"/>
          <w:highlight w:val="yellow"/>
        </w:rPr>
        <w:t>2</w:t>
      </w:r>
      <w:r w:rsidR="00F6441B">
        <w:rPr>
          <w:rFonts w:asciiTheme="minorBidi" w:hAnsiTheme="minorBidi"/>
          <w:sz w:val="28"/>
          <w:szCs w:val="28"/>
          <w:highlight w:val="yellow"/>
        </w:rPr>
        <w:t>9</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714C70B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766FD6">
              <w:rPr>
                <w:rFonts w:asciiTheme="minorBidi" w:hAnsiTheme="minorBidi"/>
                <w:b/>
                <w:bCs/>
                <w:sz w:val="28"/>
                <w:szCs w:val="28"/>
                <w:shd w:val="clear" w:color="auto" w:fill="FFFF00"/>
                <w:lang w:val="en-GB"/>
              </w:rPr>
              <w:t>94</w:t>
            </w:r>
            <w:r w:rsidR="00DC7353">
              <w:rPr>
                <w:rFonts w:asciiTheme="minorBidi" w:hAnsiTheme="minorBidi"/>
                <w:b/>
                <w:bCs/>
                <w:sz w:val="28"/>
                <w:szCs w:val="28"/>
                <w:shd w:val="clear" w:color="auto" w:fill="FFFF00"/>
                <w:lang w:val="en-GB"/>
              </w:rPr>
              <w:t>/2024/</w:t>
            </w:r>
            <w:r w:rsidR="00766FD6">
              <w:rPr>
                <w:rFonts w:asciiTheme="minorBidi" w:hAnsiTheme="minorBidi"/>
                <w:b/>
                <w:bCs/>
                <w:sz w:val="28"/>
                <w:szCs w:val="28"/>
                <w:shd w:val="clear" w:color="auto" w:fill="FFFF00"/>
                <w:lang w:val="en-GB"/>
              </w:rPr>
              <w:t>9R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56EA5E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766FD6">
              <w:rPr>
                <w:rFonts w:asciiTheme="minorBidi" w:hAnsiTheme="minorBidi"/>
                <w:sz w:val="28"/>
                <w:szCs w:val="28"/>
                <w:highlight w:val="yellow"/>
                <w:lang w:val="en-GB"/>
              </w:rPr>
              <w:t>9</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2303CA2"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F6441B">
              <w:rPr>
                <w:rFonts w:asciiTheme="minorBidi" w:hAnsiTheme="minorBidi"/>
                <w:b/>
                <w:bCs/>
                <w:sz w:val="28"/>
                <w:szCs w:val="28"/>
                <w:shd w:val="clear" w:color="auto" w:fill="FFFF00"/>
                <w:lang w:val="en-GB"/>
              </w:rPr>
              <w:t>21</w:t>
            </w:r>
            <w:r w:rsidR="00DC7353">
              <w:rPr>
                <w:rFonts w:asciiTheme="minorBidi" w:hAnsiTheme="minorBidi"/>
                <w:b/>
                <w:bCs/>
                <w:sz w:val="28"/>
                <w:szCs w:val="28"/>
                <w:shd w:val="clear" w:color="auto" w:fill="FFFF00"/>
                <w:lang w:val="en-GB"/>
              </w:rPr>
              <w:t>/</w:t>
            </w:r>
            <w:r w:rsidR="00DC64AF">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501CDE0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F6441B">
              <w:rPr>
                <w:rFonts w:asciiTheme="minorBidi" w:hAnsiTheme="minorBidi"/>
                <w:sz w:val="28"/>
                <w:szCs w:val="28"/>
                <w:shd w:val="clear" w:color="auto" w:fill="FFFF00"/>
                <w:lang w:val="en-GB"/>
              </w:rPr>
              <w:t>28</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54F0FEE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DC64AF">
              <w:rPr>
                <w:rFonts w:asciiTheme="minorBidi" w:hAnsiTheme="minorBidi"/>
                <w:sz w:val="28"/>
                <w:szCs w:val="28"/>
                <w:shd w:val="clear" w:color="auto" w:fill="FFFF00"/>
                <w:lang w:val="en-GB"/>
              </w:rPr>
              <w:t>2</w:t>
            </w:r>
            <w:r w:rsidR="00F6441B">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64AF">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1679D3B"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766FD6">
              <w:rPr>
                <w:rFonts w:asciiTheme="minorBidi" w:hAnsiTheme="minorBidi"/>
                <w:b/>
                <w:bCs/>
                <w:sz w:val="28"/>
                <w:szCs w:val="28"/>
                <w:lang w:val="en-GB"/>
              </w:rPr>
              <w:t>94</w:t>
            </w:r>
            <w:r w:rsidR="00FF7472">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766FD6">
              <w:rPr>
                <w:rFonts w:asciiTheme="minorBidi" w:hAnsiTheme="minorBidi"/>
                <w:b/>
                <w:bCs/>
                <w:sz w:val="28"/>
                <w:szCs w:val="28"/>
                <w:lang w:val="en-GB"/>
              </w:rPr>
              <w:t>9R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37489B9"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F6441B">
              <w:rPr>
                <w:rFonts w:asciiTheme="minorBidi" w:hAnsiTheme="minorBidi"/>
                <w:sz w:val="28"/>
                <w:szCs w:val="28"/>
                <w:highlight w:val="yellow"/>
                <w:lang w:val="en-GB"/>
              </w:rPr>
              <w:t>28</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0156F51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F6441B" w:rsidRPr="008A1376">
              <w:rPr>
                <w:rFonts w:asciiTheme="minorBidi" w:hAnsiTheme="minorBidi"/>
                <w:b/>
                <w:bCs/>
                <w:sz w:val="28"/>
                <w:szCs w:val="28"/>
                <w:highlight w:val="yellow"/>
                <w:lang w:val="en-GB"/>
              </w:rPr>
              <w:t>29</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1DAE3BDF"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SUP</w:t>
      </w:r>
      <w:r w:rsidR="00766FD6">
        <w:rPr>
          <w:rFonts w:asciiTheme="minorBidi" w:hAnsiTheme="minorBidi"/>
          <w:b/>
          <w:bCs/>
          <w:i/>
          <w:szCs w:val="24"/>
        </w:rPr>
        <w:t>94</w:t>
      </w:r>
      <w:r w:rsidR="00744EB3">
        <w:rPr>
          <w:rFonts w:asciiTheme="minorBidi" w:hAnsiTheme="minorBidi"/>
          <w:b/>
          <w:bCs/>
          <w:i/>
          <w:szCs w:val="24"/>
        </w:rPr>
        <w:t xml:space="preserve"> </w:t>
      </w:r>
      <w:r w:rsidR="00DC7353">
        <w:rPr>
          <w:rFonts w:asciiTheme="minorBidi" w:hAnsiTheme="minorBidi"/>
          <w:b/>
          <w:bCs/>
          <w:i/>
          <w:szCs w:val="24"/>
        </w:rPr>
        <w:t>/2024/</w:t>
      </w:r>
      <w:r w:rsidR="00766FD6">
        <w:rPr>
          <w:rFonts w:asciiTheme="minorBidi" w:hAnsiTheme="minorBidi"/>
          <w:b/>
          <w:bCs/>
          <w:i/>
          <w:szCs w:val="24"/>
        </w:rPr>
        <w:t>9R</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4EC870F8" w:rsidR="0046480A" w:rsidRPr="001C4FDE" w:rsidRDefault="008A1376"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51982A12" w:rsidR="0046480A" w:rsidRPr="001C4FDE" w:rsidRDefault="008A1376"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B5D7868" w:rsidR="0046480A" w:rsidRPr="001C4FDE" w:rsidRDefault="008A1376"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9480" w:type="dxa"/>
        <w:tblInd w:w="113" w:type="dxa"/>
        <w:tblLook w:val="04A0" w:firstRow="1" w:lastRow="0" w:firstColumn="1" w:lastColumn="0" w:noHBand="0" w:noVBand="1"/>
      </w:tblPr>
      <w:tblGrid>
        <w:gridCol w:w="480"/>
        <w:gridCol w:w="1513"/>
        <w:gridCol w:w="3572"/>
        <w:gridCol w:w="818"/>
        <w:gridCol w:w="780"/>
        <w:gridCol w:w="957"/>
        <w:gridCol w:w="1360"/>
      </w:tblGrid>
      <w:tr w:rsidR="00766FD6" w:rsidRPr="00766FD6" w14:paraId="196D79DA" w14:textId="77777777" w:rsidTr="00766FD6">
        <w:trPr>
          <w:trHeight w:val="540"/>
        </w:trPr>
        <w:tc>
          <w:tcPr>
            <w:tcW w:w="948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4E6E860" w14:textId="77777777" w:rsidR="00766FD6" w:rsidRPr="00766FD6" w:rsidRDefault="00766FD6" w:rsidP="00766FD6">
            <w:pPr>
              <w:spacing w:after="0" w:line="240" w:lineRule="auto"/>
              <w:jc w:val="center"/>
              <w:rPr>
                <w:rFonts w:ascii="Calibri" w:eastAsia="Times New Roman" w:hAnsi="Calibri" w:cs="Calibri"/>
                <w:b/>
                <w:bCs/>
                <w:color w:val="000000"/>
                <w:sz w:val="28"/>
                <w:szCs w:val="28"/>
              </w:rPr>
            </w:pPr>
            <w:r w:rsidRPr="00766FD6">
              <w:rPr>
                <w:rFonts w:ascii="Calibri" w:eastAsia="Times New Roman" w:hAnsi="Calibri" w:cs="Calibri"/>
                <w:b/>
                <w:bCs/>
                <w:color w:val="000000"/>
                <w:sz w:val="28"/>
                <w:szCs w:val="28"/>
              </w:rPr>
              <w:t>Sup 94 -2024-9R- (</w:t>
            </w:r>
            <w:proofErr w:type="gramStart"/>
            <w:r w:rsidRPr="00766FD6">
              <w:rPr>
                <w:rFonts w:ascii="Calibri" w:eastAsia="Times New Roman" w:hAnsi="Calibri" w:cs="Calibri"/>
                <w:b/>
                <w:bCs/>
                <w:color w:val="000000"/>
                <w:sz w:val="28"/>
                <w:szCs w:val="28"/>
              </w:rPr>
              <w:t xml:space="preserve">CIP)   </w:t>
            </w:r>
            <w:proofErr w:type="gramEnd"/>
            <w:r w:rsidRPr="00766FD6">
              <w:rPr>
                <w:rFonts w:ascii="Calibri" w:eastAsia="Times New Roman" w:hAnsi="Calibri" w:cs="Calibri"/>
                <w:b/>
                <w:bCs/>
                <w:color w:val="000000"/>
                <w:sz w:val="28"/>
                <w:szCs w:val="28"/>
              </w:rPr>
              <w:t xml:space="preserve">  </w:t>
            </w:r>
            <w:r w:rsidRPr="00766FD6">
              <w:rPr>
                <w:rFonts w:ascii="Calibri" w:eastAsia="Times New Roman" w:hAnsi="Calibri" w:cs="Calibri"/>
                <w:b/>
                <w:bCs/>
                <w:color w:val="000000"/>
                <w:sz w:val="28"/>
                <w:szCs w:val="28"/>
                <w:rtl/>
              </w:rPr>
              <w:t>نبيذة اساسي</w:t>
            </w:r>
            <w:r w:rsidRPr="00766FD6">
              <w:rPr>
                <w:rFonts w:ascii="Calibri" w:eastAsia="Times New Roman" w:hAnsi="Calibri" w:cs="Calibri"/>
                <w:b/>
                <w:bCs/>
                <w:color w:val="000000"/>
                <w:sz w:val="28"/>
                <w:szCs w:val="28"/>
              </w:rPr>
              <w:t xml:space="preserve"> </w:t>
            </w:r>
          </w:p>
        </w:tc>
      </w:tr>
      <w:tr w:rsidR="00766FD6" w:rsidRPr="00766FD6" w14:paraId="5A84DAF9" w14:textId="77777777" w:rsidTr="00766FD6">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7E864E8"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FFFFFF"/>
            <w:vAlign w:val="center"/>
            <w:hideMark/>
          </w:tcPr>
          <w:p w14:paraId="4973E169" w14:textId="77777777" w:rsidR="00766FD6" w:rsidRPr="00766FD6" w:rsidRDefault="00766FD6" w:rsidP="00766FD6">
            <w:pPr>
              <w:bidi/>
              <w:spacing w:after="0" w:line="240" w:lineRule="auto"/>
              <w:jc w:val="right"/>
              <w:rPr>
                <w:rFonts w:ascii="Calibri" w:eastAsia="Times New Roman" w:hAnsi="Calibri" w:cs="Calibri"/>
                <w:b/>
                <w:bCs/>
                <w:color w:val="000000"/>
              </w:rPr>
            </w:pPr>
            <w:r w:rsidRPr="00766FD6">
              <w:rPr>
                <w:rFonts w:ascii="Calibri" w:eastAsia="Times New Roman" w:hAnsi="Calibri" w:cs="Calibri"/>
                <w:b/>
                <w:bCs/>
                <w:color w:val="000000"/>
              </w:rPr>
              <w:t>National code</w:t>
            </w:r>
          </w:p>
        </w:tc>
        <w:tc>
          <w:tcPr>
            <w:tcW w:w="3600" w:type="dxa"/>
            <w:tcBorders>
              <w:top w:val="nil"/>
              <w:left w:val="nil"/>
              <w:bottom w:val="single" w:sz="4" w:space="0" w:color="auto"/>
              <w:right w:val="single" w:sz="4" w:space="0" w:color="auto"/>
            </w:tcBorders>
            <w:shd w:val="clear" w:color="000000" w:fill="FFFFFF"/>
            <w:vAlign w:val="center"/>
            <w:hideMark/>
          </w:tcPr>
          <w:p w14:paraId="7D9B5DC5" w14:textId="77777777" w:rsidR="00766FD6" w:rsidRPr="00766FD6" w:rsidRDefault="00766FD6" w:rsidP="00766FD6">
            <w:pPr>
              <w:bidi/>
              <w:spacing w:after="0" w:line="240" w:lineRule="auto"/>
              <w:jc w:val="right"/>
              <w:rPr>
                <w:rFonts w:ascii="Calibri" w:eastAsia="Times New Roman" w:hAnsi="Calibri" w:cs="Calibri"/>
                <w:b/>
                <w:bCs/>
                <w:color w:val="000000"/>
                <w:rtl/>
              </w:rPr>
            </w:pPr>
            <w:r w:rsidRPr="00766FD6">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4C694C98" w14:textId="77777777" w:rsidR="00766FD6" w:rsidRPr="00766FD6" w:rsidRDefault="00766FD6" w:rsidP="00766FD6">
            <w:pPr>
              <w:bidi/>
              <w:spacing w:after="0" w:line="240" w:lineRule="auto"/>
              <w:jc w:val="right"/>
              <w:rPr>
                <w:rFonts w:ascii="Calibri" w:eastAsia="Times New Roman" w:hAnsi="Calibri" w:cs="Calibri"/>
                <w:b/>
                <w:bCs/>
                <w:color w:val="000000"/>
                <w:rtl/>
              </w:rPr>
            </w:pPr>
            <w:r w:rsidRPr="00766FD6">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7EAC5123" w14:textId="77777777" w:rsidR="00766FD6" w:rsidRPr="00766FD6" w:rsidRDefault="00766FD6" w:rsidP="00766FD6">
            <w:pPr>
              <w:bidi/>
              <w:spacing w:after="0" w:line="240" w:lineRule="auto"/>
              <w:jc w:val="right"/>
              <w:rPr>
                <w:rFonts w:ascii="Calibri" w:eastAsia="Times New Roman" w:hAnsi="Calibri" w:cs="Calibri"/>
                <w:b/>
                <w:bCs/>
                <w:color w:val="000000"/>
                <w:rtl/>
              </w:rPr>
            </w:pPr>
            <w:r w:rsidRPr="00766FD6">
              <w:rPr>
                <w:rFonts w:ascii="Calibri" w:eastAsia="Times New Roman" w:hAnsi="Calibri" w:cs="Calibri"/>
                <w:b/>
                <w:bCs/>
                <w:color w:val="000000"/>
                <w:rtl/>
              </w:rPr>
              <w:t>.</w:t>
            </w:r>
            <w:r w:rsidRPr="00766FD6">
              <w:rPr>
                <w:rFonts w:ascii="Calibri" w:eastAsia="Times New Roman" w:hAnsi="Calibri" w:cs="Calibri"/>
                <w:b/>
                <w:bCs/>
                <w:color w:val="000000"/>
              </w:rPr>
              <w:t>QTY</w:t>
            </w:r>
          </w:p>
        </w:tc>
        <w:tc>
          <w:tcPr>
            <w:tcW w:w="960" w:type="dxa"/>
            <w:tcBorders>
              <w:top w:val="nil"/>
              <w:left w:val="nil"/>
              <w:bottom w:val="single" w:sz="4" w:space="0" w:color="auto"/>
              <w:right w:val="single" w:sz="4" w:space="0" w:color="auto"/>
            </w:tcBorders>
            <w:shd w:val="clear" w:color="auto" w:fill="auto"/>
            <w:vAlign w:val="center"/>
            <w:hideMark/>
          </w:tcPr>
          <w:p w14:paraId="33B19776" w14:textId="77777777" w:rsidR="00766FD6" w:rsidRPr="00766FD6" w:rsidRDefault="00766FD6" w:rsidP="00766FD6">
            <w:pPr>
              <w:spacing w:after="0" w:line="240" w:lineRule="auto"/>
              <w:jc w:val="center"/>
              <w:rPr>
                <w:rFonts w:ascii="Calibri" w:eastAsia="Times New Roman" w:hAnsi="Calibri" w:cs="Calibri"/>
                <w:b/>
                <w:bCs/>
                <w:color w:val="000000"/>
                <w:rtl/>
              </w:rPr>
            </w:pPr>
            <w:r w:rsidRPr="00766FD6">
              <w:rPr>
                <w:rFonts w:ascii="Calibri" w:eastAsia="Times New Roman" w:hAnsi="Calibri" w:cs="Calibri"/>
                <w:b/>
                <w:bCs/>
                <w:color w:val="000000"/>
              </w:rPr>
              <w:t xml:space="preserve">price in US dollar </w:t>
            </w:r>
          </w:p>
        </w:tc>
        <w:tc>
          <w:tcPr>
            <w:tcW w:w="1360" w:type="dxa"/>
            <w:tcBorders>
              <w:top w:val="nil"/>
              <w:left w:val="nil"/>
              <w:bottom w:val="single" w:sz="4" w:space="0" w:color="auto"/>
              <w:right w:val="single" w:sz="4" w:space="0" w:color="auto"/>
            </w:tcBorders>
            <w:shd w:val="clear" w:color="auto" w:fill="auto"/>
            <w:noWrap/>
            <w:vAlign w:val="center"/>
            <w:hideMark/>
          </w:tcPr>
          <w:p w14:paraId="3F0C6B80"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ORIGIN</w:t>
            </w:r>
          </w:p>
        </w:tc>
      </w:tr>
      <w:tr w:rsidR="00766FD6" w:rsidRPr="00766FD6" w14:paraId="2F79D743" w14:textId="77777777" w:rsidTr="00766FD6">
        <w:trPr>
          <w:trHeight w:val="98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5D17B9E"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hideMark/>
          </w:tcPr>
          <w:p w14:paraId="40802B39"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ENT-DE00-020</w:t>
            </w:r>
          </w:p>
        </w:tc>
        <w:tc>
          <w:tcPr>
            <w:tcW w:w="3600" w:type="dxa"/>
            <w:tcBorders>
              <w:top w:val="nil"/>
              <w:left w:val="nil"/>
              <w:bottom w:val="single" w:sz="4" w:space="0" w:color="auto"/>
              <w:right w:val="single" w:sz="4" w:space="0" w:color="auto"/>
            </w:tcBorders>
            <w:shd w:val="clear" w:color="000000" w:fill="FFFFFF"/>
            <w:hideMark/>
          </w:tcPr>
          <w:p w14:paraId="100706D9"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 xml:space="preserve">tracheostomy tube size 10.5 </w:t>
            </w:r>
            <w:proofErr w:type="gramStart"/>
            <w:r w:rsidRPr="00766FD6">
              <w:rPr>
                <w:rFonts w:ascii="Calibri" w:eastAsia="Times New Roman" w:hAnsi="Calibri" w:cs="Calibri"/>
                <w:b/>
                <w:bCs/>
                <w:color w:val="000000"/>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789E5DD6"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000000" w:fill="FFFFFF"/>
            <w:vAlign w:val="bottom"/>
            <w:hideMark/>
          </w:tcPr>
          <w:p w14:paraId="6E82E4FB"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1156</w:t>
            </w:r>
          </w:p>
        </w:tc>
        <w:tc>
          <w:tcPr>
            <w:tcW w:w="960" w:type="dxa"/>
            <w:tcBorders>
              <w:top w:val="nil"/>
              <w:left w:val="nil"/>
              <w:bottom w:val="single" w:sz="4" w:space="0" w:color="auto"/>
              <w:right w:val="single" w:sz="4" w:space="0" w:color="auto"/>
            </w:tcBorders>
            <w:shd w:val="clear" w:color="auto" w:fill="auto"/>
            <w:vAlign w:val="center"/>
            <w:hideMark/>
          </w:tcPr>
          <w:p w14:paraId="2E977655"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03A36C2E"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 xml:space="preserve">U.S.A, </w:t>
            </w:r>
            <w:proofErr w:type="spellStart"/>
            <w:r w:rsidRPr="00766FD6">
              <w:rPr>
                <w:rFonts w:ascii="Calibri" w:eastAsia="Times New Roman" w:hAnsi="Calibri" w:cs="Calibri"/>
                <w:b/>
                <w:bCs/>
                <w:color w:val="000000"/>
              </w:rPr>
              <w:t>europ</w:t>
            </w:r>
            <w:proofErr w:type="spellEnd"/>
            <w:r w:rsidRPr="00766FD6">
              <w:rPr>
                <w:rFonts w:ascii="Calibri" w:eastAsia="Times New Roman" w:hAnsi="Calibri" w:cs="Calibri"/>
                <w:b/>
                <w:bCs/>
                <w:color w:val="000000"/>
              </w:rPr>
              <w:t xml:space="preserve">, </w:t>
            </w:r>
            <w:proofErr w:type="spellStart"/>
            <w:r w:rsidRPr="00766FD6">
              <w:rPr>
                <w:rFonts w:ascii="Calibri" w:eastAsia="Times New Roman" w:hAnsi="Calibri" w:cs="Calibri"/>
                <w:b/>
                <w:bCs/>
                <w:color w:val="000000"/>
              </w:rPr>
              <w:t>japan</w:t>
            </w:r>
            <w:proofErr w:type="spellEnd"/>
          </w:p>
        </w:tc>
      </w:tr>
      <w:tr w:rsidR="00766FD6" w:rsidRPr="00766FD6" w14:paraId="27AFE182" w14:textId="77777777" w:rsidTr="00766FD6">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043E1CE"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000000" w:fill="FFFFFF"/>
            <w:hideMark/>
          </w:tcPr>
          <w:p w14:paraId="773A8C13"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ENT-DE00-021</w:t>
            </w:r>
          </w:p>
        </w:tc>
        <w:tc>
          <w:tcPr>
            <w:tcW w:w="3600" w:type="dxa"/>
            <w:tcBorders>
              <w:top w:val="nil"/>
              <w:left w:val="nil"/>
              <w:bottom w:val="single" w:sz="4" w:space="0" w:color="auto"/>
              <w:right w:val="single" w:sz="4" w:space="0" w:color="auto"/>
            </w:tcBorders>
            <w:shd w:val="clear" w:color="000000" w:fill="FFFFFF"/>
            <w:hideMark/>
          </w:tcPr>
          <w:p w14:paraId="1C1CB901"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 xml:space="preserve">tracheostomy tube size 11 </w:t>
            </w:r>
            <w:proofErr w:type="gramStart"/>
            <w:r w:rsidRPr="00766FD6">
              <w:rPr>
                <w:rFonts w:ascii="Calibri" w:eastAsia="Times New Roman" w:hAnsi="Calibri" w:cs="Calibri"/>
                <w:b/>
                <w:bCs/>
                <w:color w:val="000000"/>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14F217D5" w14:textId="77777777" w:rsidR="00766FD6" w:rsidRPr="00766FD6" w:rsidRDefault="00766FD6" w:rsidP="00766FD6">
            <w:pPr>
              <w:spacing w:after="0" w:line="240" w:lineRule="auto"/>
              <w:rPr>
                <w:rFonts w:ascii="Calibri" w:eastAsia="Times New Roman" w:hAnsi="Calibri" w:cs="Calibri"/>
                <w:b/>
                <w:bCs/>
                <w:color w:val="000000"/>
              </w:rPr>
            </w:pPr>
            <w:r w:rsidRPr="00766FD6">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000000" w:fill="FFFFFF"/>
            <w:vAlign w:val="bottom"/>
            <w:hideMark/>
          </w:tcPr>
          <w:p w14:paraId="26891043"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1125</w:t>
            </w:r>
          </w:p>
        </w:tc>
        <w:tc>
          <w:tcPr>
            <w:tcW w:w="960" w:type="dxa"/>
            <w:tcBorders>
              <w:top w:val="nil"/>
              <w:left w:val="nil"/>
              <w:bottom w:val="single" w:sz="4" w:space="0" w:color="auto"/>
              <w:right w:val="single" w:sz="4" w:space="0" w:color="auto"/>
            </w:tcBorders>
            <w:shd w:val="clear" w:color="auto" w:fill="auto"/>
            <w:vAlign w:val="center"/>
            <w:hideMark/>
          </w:tcPr>
          <w:p w14:paraId="7341918F"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357A1622"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 xml:space="preserve">U.S.A, </w:t>
            </w:r>
            <w:proofErr w:type="spellStart"/>
            <w:r w:rsidRPr="00766FD6">
              <w:rPr>
                <w:rFonts w:ascii="Calibri" w:eastAsia="Times New Roman" w:hAnsi="Calibri" w:cs="Calibri"/>
                <w:b/>
                <w:bCs/>
                <w:color w:val="000000"/>
              </w:rPr>
              <w:t>europ</w:t>
            </w:r>
            <w:proofErr w:type="spellEnd"/>
            <w:r w:rsidRPr="00766FD6">
              <w:rPr>
                <w:rFonts w:ascii="Calibri" w:eastAsia="Times New Roman" w:hAnsi="Calibri" w:cs="Calibri"/>
                <w:b/>
                <w:bCs/>
                <w:color w:val="000000"/>
              </w:rPr>
              <w:t xml:space="preserve">, </w:t>
            </w:r>
            <w:proofErr w:type="spellStart"/>
            <w:r w:rsidRPr="00766FD6">
              <w:rPr>
                <w:rFonts w:ascii="Calibri" w:eastAsia="Times New Roman" w:hAnsi="Calibri" w:cs="Calibri"/>
                <w:b/>
                <w:bCs/>
                <w:color w:val="000000"/>
              </w:rPr>
              <w:t>japan</w:t>
            </w:r>
            <w:proofErr w:type="spellEnd"/>
          </w:p>
        </w:tc>
      </w:tr>
      <w:tr w:rsidR="00766FD6" w:rsidRPr="00766FD6" w14:paraId="7BD00EA5" w14:textId="77777777" w:rsidTr="00766FD6">
        <w:trPr>
          <w:trHeight w:val="66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16AF2D3"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3</w:t>
            </w:r>
          </w:p>
        </w:tc>
        <w:tc>
          <w:tcPr>
            <w:tcW w:w="1520" w:type="dxa"/>
            <w:tcBorders>
              <w:top w:val="nil"/>
              <w:left w:val="nil"/>
              <w:bottom w:val="single" w:sz="4" w:space="0" w:color="auto"/>
              <w:right w:val="single" w:sz="4" w:space="0" w:color="auto"/>
            </w:tcBorders>
            <w:shd w:val="clear" w:color="000000" w:fill="FFFFFF"/>
            <w:vAlign w:val="center"/>
            <w:hideMark/>
          </w:tcPr>
          <w:p w14:paraId="1EF23DC7" w14:textId="77777777" w:rsidR="00766FD6" w:rsidRPr="00766FD6" w:rsidRDefault="00766FD6" w:rsidP="00766FD6">
            <w:pPr>
              <w:spacing w:after="0" w:line="240" w:lineRule="auto"/>
              <w:jc w:val="center"/>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ENT-DE00-022</w:t>
            </w:r>
          </w:p>
        </w:tc>
        <w:tc>
          <w:tcPr>
            <w:tcW w:w="3600" w:type="dxa"/>
            <w:tcBorders>
              <w:top w:val="nil"/>
              <w:left w:val="nil"/>
              <w:bottom w:val="single" w:sz="4" w:space="0" w:color="auto"/>
              <w:right w:val="single" w:sz="4" w:space="0" w:color="auto"/>
            </w:tcBorders>
            <w:shd w:val="clear" w:color="000000" w:fill="FFFFFF"/>
            <w:vAlign w:val="bottom"/>
            <w:hideMark/>
          </w:tcPr>
          <w:p w14:paraId="4E38CCD0" w14:textId="77777777" w:rsidR="00766FD6" w:rsidRPr="00766FD6" w:rsidRDefault="00766FD6" w:rsidP="00766FD6">
            <w:pPr>
              <w:spacing w:after="0" w:line="240" w:lineRule="auto"/>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tracheostomy tube size 12</w:t>
            </w:r>
            <w:proofErr w:type="gramStart"/>
            <w:r w:rsidRPr="00766FD6">
              <w:rPr>
                <w:rFonts w:ascii="Calibri" w:eastAsia="Times New Roman" w:hAnsi="Calibri" w:cs="Calibri"/>
                <w:b/>
                <w:bCs/>
                <w:color w:val="000000"/>
                <w:sz w:val="18"/>
                <w:szCs w:val="18"/>
              </w:rPr>
              <w:t>mm  cuff</w:t>
            </w:r>
            <w:proofErr w:type="gramEnd"/>
          </w:p>
        </w:tc>
        <w:tc>
          <w:tcPr>
            <w:tcW w:w="820" w:type="dxa"/>
            <w:tcBorders>
              <w:top w:val="nil"/>
              <w:left w:val="nil"/>
              <w:bottom w:val="single" w:sz="4" w:space="0" w:color="auto"/>
              <w:right w:val="single" w:sz="4" w:space="0" w:color="auto"/>
            </w:tcBorders>
            <w:shd w:val="clear" w:color="000000" w:fill="FFFFFF"/>
            <w:vAlign w:val="center"/>
            <w:hideMark/>
          </w:tcPr>
          <w:p w14:paraId="74163960" w14:textId="77777777" w:rsidR="00766FD6" w:rsidRPr="00766FD6" w:rsidRDefault="00766FD6" w:rsidP="00766FD6">
            <w:pPr>
              <w:spacing w:after="0" w:line="240" w:lineRule="auto"/>
              <w:jc w:val="center"/>
              <w:rPr>
                <w:rFonts w:ascii="Calibri" w:eastAsia="Times New Roman" w:hAnsi="Calibri" w:cs="Calibri"/>
                <w:b/>
                <w:bCs/>
                <w:color w:val="000000"/>
                <w:sz w:val="20"/>
                <w:szCs w:val="20"/>
              </w:rPr>
            </w:pPr>
            <w:r w:rsidRPr="00766FD6">
              <w:rPr>
                <w:rFonts w:ascii="Calibri" w:eastAsia="Times New Roman" w:hAnsi="Calibri" w:cs="Calibri"/>
                <w:b/>
                <w:bCs/>
                <w:color w:val="000000"/>
                <w:sz w:val="20"/>
                <w:szCs w:val="20"/>
              </w:rPr>
              <w:t>pcs</w:t>
            </w:r>
          </w:p>
        </w:tc>
        <w:tc>
          <w:tcPr>
            <w:tcW w:w="780" w:type="dxa"/>
            <w:tcBorders>
              <w:top w:val="nil"/>
              <w:left w:val="nil"/>
              <w:bottom w:val="single" w:sz="4" w:space="0" w:color="auto"/>
              <w:right w:val="single" w:sz="4" w:space="0" w:color="auto"/>
            </w:tcBorders>
            <w:shd w:val="clear" w:color="000000" w:fill="FFFFFF"/>
            <w:vAlign w:val="bottom"/>
            <w:hideMark/>
          </w:tcPr>
          <w:p w14:paraId="13A414B5"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1070</w:t>
            </w:r>
          </w:p>
        </w:tc>
        <w:tc>
          <w:tcPr>
            <w:tcW w:w="960" w:type="dxa"/>
            <w:tcBorders>
              <w:top w:val="nil"/>
              <w:left w:val="nil"/>
              <w:bottom w:val="single" w:sz="4" w:space="0" w:color="auto"/>
              <w:right w:val="single" w:sz="4" w:space="0" w:color="auto"/>
            </w:tcBorders>
            <w:shd w:val="clear" w:color="auto" w:fill="auto"/>
            <w:vAlign w:val="center"/>
            <w:hideMark/>
          </w:tcPr>
          <w:p w14:paraId="18BB2EE9"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36.4</w:t>
            </w:r>
          </w:p>
        </w:tc>
        <w:tc>
          <w:tcPr>
            <w:tcW w:w="1360" w:type="dxa"/>
            <w:tcBorders>
              <w:top w:val="nil"/>
              <w:left w:val="nil"/>
              <w:bottom w:val="single" w:sz="4" w:space="0" w:color="auto"/>
              <w:right w:val="single" w:sz="4" w:space="0" w:color="auto"/>
            </w:tcBorders>
            <w:shd w:val="clear" w:color="000000" w:fill="FFFFFF"/>
            <w:vAlign w:val="bottom"/>
            <w:hideMark/>
          </w:tcPr>
          <w:p w14:paraId="60035B3D"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 xml:space="preserve">U.S.A, </w:t>
            </w:r>
            <w:proofErr w:type="spellStart"/>
            <w:r w:rsidRPr="00766FD6">
              <w:rPr>
                <w:rFonts w:ascii="Calibri" w:eastAsia="Times New Roman" w:hAnsi="Calibri" w:cs="Calibri"/>
                <w:b/>
                <w:bCs/>
                <w:color w:val="000000"/>
              </w:rPr>
              <w:t>europ</w:t>
            </w:r>
            <w:proofErr w:type="spellEnd"/>
            <w:r w:rsidRPr="00766FD6">
              <w:rPr>
                <w:rFonts w:ascii="Calibri" w:eastAsia="Times New Roman" w:hAnsi="Calibri" w:cs="Calibri"/>
                <w:b/>
                <w:bCs/>
                <w:color w:val="000000"/>
              </w:rPr>
              <w:t xml:space="preserve">, </w:t>
            </w:r>
            <w:proofErr w:type="spellStart"/>
            <w:r w:rsidRPr="00766FD6">
              <w:rPr>
                <w:rFonts w:ascii="Calibri" w:eastAsia="Times New Roman" w:hAnsi="Calibri" w:cs="Calibri"/>
                <w:b/>
                <w:bCs/>
                <w:color w:val="000000"/>
              </w:rPr>
              <w:t>japan</w:t>
            </w:r>
            <w:proofErr w:type="spellEnd"/>
          </w:p>
        </w:tc>
      </w:tr>
      <w:tr w:rsidR="00766FD6" w:rsidRPr="00766FD6" w14:paraId="3C3CF3E2" w14:textId="77777777" w:rsidTr="00766FD6">
        <w:trPr>
          <w:trHeight w:val="49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7CEC7D3"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4</w:t>
            </w:r>
          </w:p>
        </w:tc>
        <w:tc>
          <w:tcPr>
            <w:tcW w:w="1520" w:type="dxa"/>
            <w:tcBorders>
              <w:top w:val="nil"/>
              <w:left w:val="nil"/>
              <w:bottom w:val="single" w:sz="4" w:space="0" w:color="auto"/>
              <w:right w:val="single" w:sz="4" w:space="0" w:color="auto"/>
            </w:tcBorders>
            <w:shd w:val="clear" w:color="000000" w:fill="FFFFFF"/>
            <w:vAlign w:val="center"/>
            <w:hideMark/>
          </w:tcPr>
          <w:p w14:paraId="52D4DB78" w14:textId="77777777" w:rsidR="00766FD6" w:rsidRPr="00766FD6" w:rsidRDefault="00766FD6" w:rsidP="00766FD6">
            <w:pPr>
              <w:spacing w:after="0" w:line="240" w:lineRule="auto"/>
              <w:jc w:val="center"/>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ENT-DE17-040</w:t>
            </w:r>
          </w:p>
        </w:tc>
        <w:tc>
          <w:tcPr>
            <w:tcW w:w="3600" w:type="dxa"/>
            <w:tcBorders>
              <w:top w:val="nil"/>
              <w:left w:val="nil"/>
              <w:bottom w:val="single" w:sz="4" w:space="0" w:color="auto"/>
              <w:right w:val="single" w:sz="4" w:space="0" w:color="auto"/>
            </w:tcBorders>
            <w:shd w:val="clear" w:color="000000" w:fill="FFFFFF"/>
            <w:vAlign w:val="bottom"/>
            <w:hideMark/>
          </w:tcPr>
          <w:p w14:paraId="4AF46123" w14:textId="77777777" w:rsidR="00766FD6" w:rsidRPr="00766FD6" w:rsidRDefault="00766FD6" w:rsidP="00766FD6">
            <w:pPr>
              <w:spacing w:after="0" w:line="240" w:lineRule="auto"/>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Double cuff tracheotomy tube size 4 mm</w:t>
            </w:r>
          </w:p>
        </w:tc>
        <w:tc>
          <w:tcPr>
            <w:tcW w:w="820" w:type="dxa"/>
            <w:tcBorders>
              <w:top w:val="nil"/>
              <w:left w:val="nil"/>
              <w:bottom w:val="single" w:sz="4" w:space="0" w:color="auto"/>
              <w:right w:val="single" w:sz="4" w:space="0" w:color="auto"/>
            </w:tcBorders>
            <w:shd w:val="clear" w:color="000000" w:fill="FFFFFF"/>
            <w:vAlign w:val="center"/>
            <w:hideMark/>
          </w:tcPr>
          <w:p w14:paraId="1C3F4DB0" w14:textId="77777777" w:rsidR="00766FD6" w:rsidRPr="00766FD6" w:rsidRDefault="00766FD6" w:rsidP="00766FD6">
            <w:pPr>
              <w:spacing w:after="0" w:line="240" w:lineRule="auto"/>
              <w:jc w:val="center"/>
              <w:rPr>
                <w:rFonts w:ascii="Calibri" w:eastAsia="Times New Roman" w:hAnsi="Calibri" w:cs="Calibri"/>
                <w:b/>
                <w:bCs/>
                <w:color w:val="000000"/>
                <w:sz w:val="20"/>
                <w:szCs w:val="20"/>
              </w:rPr>
            </w:pPr>
            <w:r w:rsidRPr="00766FD6">
              <w:rPr>
                <w:rFonts w:ascii="Calibri" w:eastAsia="Times New Roman" w:hAnsi="Calibri" w:cs="Calibri"/>
                <w:b/>
                <w:bCs/>
                <w:color w:val="000000"/>
                <w:sz w:val="20"/>
                <w:szCs w:val="20"/>
              </w:rPr>
              <w:t>pcs</w:t>
            </w:r>
          </w:p>
        </w:tc>
        <w:tc>
          <w:tcPr>
            <w:tcW w:w="780" w:type="dxa"/>
            <w:tcBorders>
              <w:top w:val="nil"/>
              <w:left w:val="nil"/>
              <w:bottom w:val="single" w:sz="4" w:space="0" w:color="auto"/>
              <w:right w:val="single" w:sz="4" w:space="0" w:color="auto"/>
            </w:tcBorders>
            <w:shd w:val="clear" w:color="000000" w:fill="FFFFFF"/>
            <w:vAlign w:val="bottom"/>
            <w:hideMark/>
          </w:tcPr>
          <w:p w14:paraId="439427D6"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474</w:t>
            </w:r>
          </w:p>
        </w:tc>
        <w:tc>
          <w:tcPr>
            <w:tcW w:w="960" w:type="dxa"/>
            <w:tcBorders>
              <w:top w:val="nil"/>
              <w:left w:val="nil"/>
              <w:bottom w:val="single" w:sz="4" w:space="0" w:color="auto"/>
              <w:right w:val="single" w:sz="4" w:space="0" w:color="auto"/>
            </w:tcBorders>
            <w:shd w:val="clear" w:color="auto" w:fill="auto"/>
            <w:vAlign w:val="center"/>
            <w:hideMark/>
          </w:tcPr>
          <w:p w14:paraId="25C920D9"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32</w:t>
            </w:r>
          </w:p>
        </w:tc>
        <w:tc>
          <w:tcPr>
            <w:tcW w:w="1360" w:type="dxa"/>
            <w:tcBorders>
              <w:top w:val="nil"/>
              <w:left w:val="nil"/>
              <w:bottom w:val="single" w:sz="4" w:space="0" w:color="auto"/>
              <w:right w:val="single" w:sz="4" w:space="0" w:color="auto"/>
            </w:tcBorders>
            <w:shd w:val="clear" w:color="000000" w:fill="FFFFFF"/>
            <w:vAlign w:val="center"/>
            <w:hideMark/>
          </w:tcPr>
          <w:p w14:paraId="2FFDF216"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Asian</w:t>
            </w:r>
          </w:p>
        </w:tc>
      </w:tr>
      <w:tr w:rsidR="00766FD6" w:rsidRPr="00766FD6" w14:paraId="1A501D3F" w14:textId="77777777" w:rsidTr="00766FD6">
        <w:trPr>
          <w:trHeight w:val="81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965004B"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5</w:t>
            </w:r>
          </w:p>
        </w:tc>
        <w:tc>
          <w:tcPr>
            <w:tcW w:w="1520" w:type="dxa"/>
            <w:tcBorders>
              <w:top w:val="nil"/>
              <w:left w:val="nil"/>
              <w:bottom w:val="single" w:sz="4" w:space="0" w:color="auto"/>
              <w:right w:val="single" w:sz="4" w:space="0" w:color="auto"/>
            </w:tcBorders>
            <w:shd w:val="clear" w:color="000000" w:fill="FFFFFF"/>
            <w:vAlign w:val="center"/>
            <w:hideMark/>
          </w:tcPr>
          <w:p w14:paraId="02C8F2E6" w14:textId="77777777" w:rsidR="00766FD6" w:rsidRPr="00766FD6" w:rsidRDefault="00766FD6" w:rsidP="00766FD6">
            <w:pPr>
              <w:spacing w:after="0" w:line="240" w:lineRule="auto"/>
              <w:jc w:val="center"/>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ENT-DE21-067</w:t>
            </w:r>
          </w:p>
        </w:tc>
        <w:tc>
          <w:tcPr>
            <w:tcW w:w="3600" w:type="dxa"/>
            <w:tcBorders>
              <w:top w:val="nil"/>
              <w:left w:val="nil"/>
              <w:bottom w:val="single" w:sz="4" w:space="0" w:color="auto"/>
              <w:right w:val="single" w:sz="4" w:space="0" w:color="auto"/>
            </w:tcBorders>
            <w:shd w:val="clear" w:color="000000" w:fill="FFFFFF"/>
            <w:vAlign w:val="center"/>
            <w:hideMark/>
          </w:tcPr>
          <w:p w14:paraId="721B1720" w14:textId="77777777" w:rsidR="00766FD6" w:rsidRPr="00766FD6" w:rsidRDefault="00766FD6" w:rsidP="00766FD6">
            <w:pPr>
              <w:spacing w:after="0" w:line="240" w:lineRule="auto"/>
              <w:rPr>
                <w:rFonts w:ascii="Calibri" w:eastAsia="Times New Roman" w:hAnsi="Calibri" w:cs="Calibri"/>
                <w:b/>
                <w:bCs/>
                <w:color w:val="000000"/>
                <w:sz w:val="18"/>
                <w:szCs w:val="18"/>
              </w:rPr>
            </w:pPr>
            <w:r w:rsidRPr="00766FD6">
              <w:rPr>
                <w:rFonts w:ascii="Calibri" w:eastAsia="Times New Roman" w:hAnsi="Calibri" w:cs="Calibri"/>
                <w:b/>
                <w:bCs/>
                <w:color w:val="000000"/>
                <w:sz w:val="18"/>
                <w:szCs w:val="18"/>
              </w:rPr>
              <w:t xml:space="preserve">Rapid </w:t>
            </w:r>
            <w:proofErr w:type="spellStart"/>
            <w:r w:rsidRPr="00766FD6">
              <w:rPr>
                <w:rFonts w:ascii="Calibri" w:eastAsia="Times New Roman" w:hAnsi="Calibri" w:cs="Calibri"/>
                <w:b/>
                <w:bCs/>
                <w:color w:val="000000"/>
                <w:sz w:val="18"/>
                <w:szCs w:val="18"/>
              </w:rPr>
              <w:t>Rino</w:t>
            </w:r>
            <w:proofErr w:type="spellEnd"/>
            <w:r w:rsidRPr="00766FD6">
              <w:rPr>
                <w:rFonts w:ascii="Calibri" w:eastAsia="Times New Roman" w:hAnsi="Calibri" w:cs="Calibri"/>
                <w:b/>
                <w:bCs/>
                <w:color w:val="000000"/>
                <w:sz w:val="18"/>
                <w:szCs w:val="18"/>
              </w:rPr>
              <w:t xml:space="preserve"> (</w:t>
            </w:r>
            <w:proofErr w:type="spellStart"/>
            <w:r w:rsidRPr="00766FD6">
              <w:rPr>
                <w:rFonts w:ascii="Calibri" w:eastAsia="Times New Roman" w:hAnsi="Calibri" w:cs="Calibri"/>
                <w:b/>
                <w:bCs/>
                <w:color w:val="000000"/>
                <w:sz w:val="18"/>
                <w:szCs w:val="18"/>
              </w:rPr>
              <w:t>cmc</w:t>
            </w:r>
            <w:proofErr w:type="spellEnd"/>
            <w:r w:rsidRPr="00766FD6">
              <w:rPr>
                <w:rFonts w:ascii="Calibri" w:eastAsia="Times New Roman" w:hAnsi="Calibri" w:cs="Calibri"/>
                <w:b/>
                <w:bCs/>
                <w:color w:val="000000"/>
                <w:sz w:val="18"/>
                <w:szCs w:val="18"/>
              </w:rPr>
              <w:t>) nasal dressing 8cm, 5.5cm</w:t>
            </w:r>
          </w:p>
        </w:tc>
        <w:tc>
          <w:tcPr>
            <w:tcW w:w="820" w:type="dxa"/>
            <w:tcBorders>
              <w:top w:val="nil"/>
              <w:left w:val="nil"/>
              <w:bottom w:val="single" w:sz="4" w:space="0" w:color="auto"/>
              <w:right w:val="single" w:sz="4" w:space="0" w:color="auto"/>
            </w:tcBorders>
            <w:shd w:val="clear" w:color="000000" w:fill="FFFFFF"/>
            <w:vAlign w:val="center"/>
            <w:hideMark/>
          </w:tcPr>
          <w:p w14:paraId="145321F6" w14:textId="77777777" w:rsidR="00766FD6" w:rsidRPr="00766FD6" w:rsidRDefault="00766FD6" w:rsidP="00766FD6">
            <w:pPr>
              <w:spacing w:after="0" w:line="240" w:lineRule="auto"/>
              <w:jc w:val="center"/>
              <w:rPr>
                <w:rFonts w:ascii="Calibri" w:eastAsia="Times New Roman" w:hAnsi="Calibri" w:cs="Calibri"/>
                <w:b/>
                <w:bCs/>
                <w:color w:val="000000"/>
                <w:sz w:val="20"/>
                <w:szCs w:val="20"/>
              </w:rPr>
            </w:pPr>
            <w:r w:rsidRPr="00766FD6">
              <w:rPr>
                <w:rFonts w:ascii="Calibri" w:eastAsia="Times New Roman" w:hAnsi="Calibri" w:cs="Calibri"/>
                <w:b/>
                <w:bCs/>
                <w:color w:val="000000"/>
                <w:sz w:val="20"/>
                <w:szCs w:val="20"/>
              </w:rPr>
              <w:t>PCS</w:t>
            </w:r>
          </w:p>
        </w:tc>
        <w:tc>
          <w:tcPr>
            <w:tcW w:w="780" w:type="dxa"/>
            <w:tcBorders>
              <w:top w:val="nil"/>
              <w:left w:val="nil"/>
              <w:bottom w:val="single" w:sz="4" w:space="0" w:color="auto"/>
              <w:right w:val="single" w:sz="4" w:space="0" w:color="auto"/>
            </w:tcBorders>
            <w:shd w:val="clear" w:color="000000" w:fill="FFFFFF"/>
            <w:vAlign w:val="bottom"/>
            <w:hideMark/>
          </w:tcPr>
          <w:p w14:paraId="544AA42C" w14:textId="77777777" w:rsidR="00766FD6" w:rsidRPr="00766FD6" w:rsidRDefault="00766FD6" w:rsidP="00766FD6">
            <w:pPr>
              <w:spacing w:after="0" w:line="240" w:lineRule="auto"/>
              <w:jc w:val="right"/>
              <w:rPr>
                <w:rFonts w:ascii="Arial" w:eastAsia="Times New Roman" w:hAnsi="Arial" w:cs="Arial"/>
                <w:b/>
                <w:bCs/>
                <w:sz w:val="24"/>
                <w:szCs w:val="24"/>
              </w:rPr>
            </w:pPr>
            <w:r w:rsidRPr="00766FD6">
              <w:rPr>
                <w:rFonts w:ascii="Arial" w:eastAsia="Times New Roman" w:hAnsi="Arial" w:cs="Arial"/>
                <w:b/>
                <w:bCs/>
                <w:sz w:val="24"/>
                <w:szCs w:val="24"/>
              </w:rPr>
              <w:t>8483</w:t>
            </w:r>
          </w:p>
        </w:tc>
        <w:tc>
          <w:tcPr>
            <w:tcW w:w="960" w:type="dxa"/>
            <w:tcBorders>
              <w:top w:val="nil"/>
              <w:left w:val="nil"/>
              <w:bottom w:val="single" w:sz="4" w:space="0" w:color="auto"/>
              <w:right w:val="single" w:sz="4" w:space="0" w:color="auto"/>
            </w:tcBorders>
            <w:shd w:val="clear" w:color="auto" w:fill="auto"/>
            <w:vAlign w:val="center"/>
            <w:hideMark/>
          </w:tcPr>
          <w:p w14:paraId="4E89029A"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22.5</w:t>
            </w:r>
          </w:p>
        </w:tc>
        <w:tc>
          <w:tcPr>
            <w:tcW w:w="1360" w:type="dxa"/>
            <w:tcBorders>
              <w:top w:val="nil"/>
              <w:left w:val="nil"/>
              <w:bottom w:val="single" w:sz="4" w:space="0" w:color="auto"/>
              <w:right w:val="single" w:sz="4" w:space="0" w:color="auto"/>
            </w:tcBorders>
            <w:shd w:val="clear" w:color="000000" w:fill="FFFFFF"/>
            <w:vAlign w:val="bottom"/>
            <w:hideMark/>
          </w:tcPr>
          <w:p w14:paraId="7935A6E2" w14:textId="77777777" w:rsidR="00766FD6" w:rsidRPr="00766FD6" w:rsidRDefault="00766FD6" w:rsidP="00766FD6">
            <w:pPr>
              <w:spacing w:after="0" w:line="240" w:lineRule="auto"/>
              <w:jc w:val="center"/>
              <w:rPr>
                <w:rFonts w:ascii="Calibri" w:eastAsia="Times New Roman" w:hAnsi="Calibri" w:cs="Calibri"/>
                <w:b/>
                <w:bCs/>
                <w:color w:val="000000"/>
              </w:rPr>
            </w:pPr>
            <w:r w:rsidRPr="00766FD6">
              <w:rPr>
                <w:rFonts w:ascii="Calibri" w:eastAsia="Times New Roman" w:hAnsi="Calibri" w:cs="Calibri"/>
                <w:b/>
                <w:bCs/>
                <w:color w:val="000000"/>
              </w:rPr>
              <w:t xml:space="preserve">U.S.A, </w:t>
            </w:r>
            <w:proofErr w:type="spellStart"/>
            <w:r w:rsidRPr="00766FD6">
              <w:rPr>
                <w:rFonts w:ascii="Calibri" w:eastAsia="Times New Roman" w:hAnsi="Calibri" w:cs="Calibri"/>
                <w:b/>
                <w:bCs/>
                <w:color w:val="000000"/>
              </w:rPr>
              <w:t>europ</w:t>
            </w:r>
            <w:proofErr w:type="spellEnd"/>
            <w:r w:rsidRPr="00766FD6">
              <w:rPr>
                <w:rFonts w:ascii="Calibri" w:eastAsia="Times New Roman" w:hAnsi="Calibri" w:cs="Calibri"/>
                <w:b/>
                <w:bCs/>
                <w:color w:val="000000"/>
              </w:rPr>
              <w:t xml:space="preserve">, </w:t>
            </w:r>
            <w:proofErr w:type="spellStart"/>
            <w:r w:rsidRPr="00766FD6">
              <w:rPr>
                <w:rFonts w:ascii="Calibri" w:eastAsia="Times New Roman" w:hAnsi="Calibri" w:cs="Calibri"/>
                <w:b/>
                <w:bCs/>
                <w:color w:val="000000"/>
              </w:rPr>
              <w:t>japan</w:t>
            </w:r>
            <w:proofErr w:type="spellEnd"/>
          </w:p>
        </w:tc>
      </w:tr>
    </w:tbl>
    <w:p w14:paraId="5EA4CFC3" w14:textId="73C352CA" w:rsidR="001C06AC" w:rsidRPr="00766FD6"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F6441B"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55ED9" w14:textId="77777777" w:rsidR="00E621E3" w:rsidRDefault="00E621E3" w:rsidP="00C10F59">
      <w:pPr>
        <w:spacing w:after="0" w:line="240" w:lineRule="auto"/>
      </w:pPr>
      <w:r>
        <w:separator/>
      </w:r>
    </w:p>
  </w:endnote>
  <w:endnote w:type="continuationSeparator" w:id="0">
    <w:p w14:paraId="55483B58" w14:textId="77777777" w:rsidR="00E621E3" w:rsidRDefault="00E621E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7A38FC8C"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766FD6">
      <w:rPr>
        <w:rFonts w:asciiTheme="majorHAnsi" w:hAnsiTheme="majorHAnsi"/>
        <w:b/>
        <w:bCs/>
        <w:highlight w:val="yellow"/>
      </w:rPr>
      <w:t>94</w:t>
    </w:r>
    <w:r w:rsidR="008A253F" w:rsidRPr="00942A6D">
      <w:rPr>
        <w:rFonts w:asciiTheme="majorHAnsi" w:hAnsiTheme="majorHAnsi"/>
        <w:b/>
        <w:bCs/>
        <w:highlight w:val="yellow"/>
      </w:rPr>
      <w:t>/2024/</w:t>
    </w:r>
    <w:r w:rsidR="00766FD6">
      <w:rPr>
        <w:rFonts w:asciiTheme="majorHAnsi" w:hAnsiTheme="majorHAnsi"/>
        <w:b/>
        <w:bCs/>
        <w:highlight w:val="yellow"/>
      </w:rPr>
      <w:t>9</w:t>
    </w:r>
    <w:proofErr w:type="gramStart"/>
    <w:r w:rsidR="00766FD6">
      <w:rPr>
        <w:rFonts w:asciiTheme="majorHAnsi" w:hAnsiTheme="majorHAnsi"/>
        <w:b/>
        <w:bCs/>
        <w:highlight w:val="yellow"/>
      </w:rPr>
      <w:t>R</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3BA73808"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 xml:space="preserve">SUP </w:t>
    </w:r>
    <w:r w:rsidR="00766FD6">
      <w:rPr>
        <w:rFonts w:asciiTheme="majorHAnsi" w:hAnsiTheme="majorHAnsi"/>
        <w:b/>
        <w:bCs/>
      </w:rPr>
      <w:t>94</w:t>
    </w:r>
    <w:r w:rsidR="0056764E">
      <w:rPr>
        <w:rFonts w:asciiTheme="majorHAnsi" w:hAnsiTheme="majorHAnsi"/>
        <w:b/>
        <w:bCs/>
      </w:rPr>
      <w:t>/2024/</w:t>
    </w:r>
    <w:r w:rsidR="00766FD6">
      <w:rPr>
        <w:rFonts w:asciiTheme="majorHAnsi" w:hAnsiTheme="majorHAnsi"/>
        <w:b/>
        <w:bCs/>
      </w:rPr>
      <w:t>9</w:t>
    </w:r>
    <w:proofErr w:type="gramStart"/>
    <w:r w:rsidR="00766FD6">
      <w:rPr>
        <w:rFonts w:asciiTheme="majorHAnsi" w:hAnsiTheme="majorHAnsi"/>
        <w:b/>
        <w:bCs/>
      </w:rPr>
      <w:t>R</w:t>
    </w:r>
    <w:r w:rsidR="0056764E">
      <w:rPr>
        <w:rFonts w:asciiTheme="majorHAnsi" w:hAnsiTheme="majorHAnsi"/>
        <w:b/>
        <w:bCs/>
      </w:rPr>
      <w:t xml:space="preserve">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E1A44" w14:textId="77777777" w:rsidR="00E621E3" w:rsidRDefault="00E621E3" w:rsidP="00C10F59">
      <w:pPr>
        <w:spacing w:after="0" w:line="240" w:lineRule="auto"/>
      </w:pPr>
      <w:r>
        <w:separator/>
      </w:r>
    </w:p>
  </w:footnote>
  <w:footnote w:type="continuationSeparator" w:id="0">
    <w:p w14:paraId="3A634752" w14:textId="77777777" w:rsidR="00E621E3" w:rsidRDefault="00E621E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0ED4"/>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682E"/>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19A5"/>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10236"/>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65D48"/>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4BE"/>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80DFC"/>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02D"/>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6FD6"/>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37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1B86"/>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64AF"/>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375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4A2"/>
    <w:rsid w:val="00E60964"/>
    <w:rsid w:val="00E621E3"/>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2FE"/>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40C2E"/>
    <w:rsid w:val="00F50773"/>
    <w:rsid w:val="00F521DC"/>
    <w:rsid w:val="00F529A9"/>
    <w:rsid w:val="00F5392D"/>
    <w:rsid w:val="00F54723"/>
    <w:rsid w:val="00F55FF0"/>
    <w:rsid w:val="00F57722"/>
    <w:rsid w:val="00F610FC"/>
    <w:rsid w:val="00F616AB"/>
    <w:rsid w:val="00F63043"/>
    <w:rsid w:val="00F6441B"/>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6696">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31958382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25674886">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137</Pages>
  <Words>33990</Words>
  <Characters>193748</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163</cp:revision>
  <cp:lastPrinted>2023-10-18T09:12:00Z</cp:lastPrinted>
  <dcterms:created xsi:type="dcterms:W3CDTF">2024-02-18T08:36:00Z</dcterms:created>
  <dcterms:modified xsi:type="dcterms:W3CDTF">2024-09-25T07:56:00Z</dcterms:modified>
</cp:coreProperties>
</file>