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125515" w:rsidRDefault="00B367A8" w:rsidP="00FF3AD9">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FF3AD9">
              <w:rPr>
                <w:sz w:val="32"/>
                <w:szCs w:val="32"/>
                <w:highlight w:val="yellow"/>
                <w:lang w:bidi="ar-IQ"/>
              </w:rPr>
              <w:t>2</w:t>
            </w:r>
            <w:r w:rsidR="000744B5" w:rsidRPr="000744B5">
              <w:rPr>
                <w:sz w:val="32"/>
                <w:szCs w:val="32"/>
                <w:highlight w:val="yellow"/>
                <w:lang w:bidi="ar-IQ"/>
              </w:rPr>
              <w:t xml:space="preserve"> </w:t>
            </w:r>
            <w:r w:rsidR="00285C21" w:rsidRPr="000744B5">
              <w:rPr>
                <w:sz w:val="32"/>
                <w:szCs w:val="32"/>
                <w:highlight w:val="yellow"/>
                <w:lang w:bidi="ar-IQ"/>
              </w:rPr>
              <w:t>\202</w:t>
            </w:r>
            <w:r w:rsidR="00CC59D2">
              <w:rPr>
                <w:sz w:val="32"/>
                <w:szCs w:val="32"/>
                <w:lang w:bidi="ar-IQ"/>
              </w:rPr>
              <w:t>4</w:t>
            </w:r>
            <w:r w:rsidR="00301627">
              <w:rPr>
                <w:sz w:val="32"/>
                <w:szCs w:val="32"/>
                <w:lang w:bidi="ar-IQ"/>
              </w:rPr>
              <w:t xml:space="preserve"> </w:t>
            </w:r>
            <w:r w:rsidR="00062E8A">
              <w:rPr>
                <w:sz w:val="32"/>
                <w:szCs w:val="32"/>
                <w:lang w:bidi="ar-IQ"/>
              </w:rPr>
              <w:t>Bc</w:t>
            </w:r>
          </w:p>
          <w:p w:rsidR="000744B5" w:rsidRPr="00062E8A"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062E8A">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062E8A">
              <w:rPr>
                <w:rFonts w:asciiTheme="minorBidi" w:hAnsiTheme="minorBidi" w:hint="cs"/>
                <w:color w:val="000000"/>
                <w:sz w:val="32"/>
                <w:szCs w:val="32"/>
                <w:highlight w:val="yellow"/>
                <w:rtl/>
                <w:lang w:bidi="ar-IQ"/>
              </w:rPr>
              <w:t>23</w:t>
            </w:r>
            <w:r w:rsidR="00C42FB5" w:rsidRPr="00301627">
              <w:rPr>
                <w:rFonts w:asciiTheme="minorBidi" w:hAnsiTheme="minorBidi"/>
                <w:color w:val="000000"/>
                <w:sz w:val="32"/>
                <w:szCs w:val="32"/>
                <w:highlight w:val="yellow"/>
                <w:lang w:bidi="ar-LB"/>
              </w:rPr>
              <w:t>/</w:t>
            </w:r>
            <w:r w:rsidR="0059353C" w:rsidRPr="00301627">
              <w:rPr>
                <w:rFonts w:asciiTheme="minorBidi" w:hAnsiTheme="minorBidi" w:hint="cs"/>
                <w:color w:val="000000"/>
                <w:sz w:val="32"/>
                <w:szCs w:val="32"/>
                <w:highlight w:val="yellow"/>
                <w:rtl/>
                <w:lang w:bidi="ar-LB"/>
              </w:rPr>
              <w:t>7</w:t>
            </w:r>
            <w:r w:rsidRPr="00301627">
              <w:rPr>
                <w:rFonts w:asciiTheme="minorBidi" w:hAnsiTheme="minorBidi"/>
                <w:color w:val="000000"/>
                <w:sz w:val="32"/>
                <w:szCs w:val="32"/>
                <w:highlight w:val="yellow"/>
                <w:rtl/>
                <w:lang w:bidi="ar-LB"/>
              </w:rPr>
              <w:t>/</w:t>
            </w:r>
            <w:bookmarkStart w:id="0" w:name="_GoBack"/>
            <w:r w:rsidR="004149D0" w:rsidRPr="00301627">
              <w:rPr>
                <w:rFonts w:asciiTheme="minorBidi" w:hAnsiTheme="minorBidi" w:hint="cs"/>
                <w:color w:val="000000"/>
                <w:sz w:val="32"/>
                <w:szCs w:val="32"/>
                <w:highlight w:val="yellow"/>
                <w:rtl/>
                <w:lang w:bidi="ar-LB"/>
              </w:rPr>
              <w:t>2024</w:t>
            </w:r>
            <w:bookmarkEnd w:id="0"/>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FF3AD9">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مناقصة مصانع وطني</w:t>
            </w:r>
            <w:r w:rsidR="00062E8A">
              <w:rPr>
                <w:rFonts w:ascii="Calibri" w:hAnsi="Calibri" w:cs="Arial" w:hint="cs"/>
                <w:bCs/>
                <w:sz w:val="24"/>
                <w:szCs w:val="24"/>
                <w:rtl/>
              </w:rPr>
              <w:t xml:space="preserve"> </w:t>
            </w:r>
            <w:r w:rsidR="00062E8A">
              <w:rPr>
                <w:rFonts w:ascii="Calibri" w:hAnsi="Calibri" w:cs="Arial"/>
                <w:bCs/>
                <w:sz w:val="28"/>
                <w:szCs w:val="28"/>
              </w:rPr>
              <w:t>Bc</w:t>
            </w:r>
            <w:r w:rsidR="00824E32">
              <w:rPr>
                <w:rFonts w:ascii="Calibri" w:hAnsi="Calibri" w:cs="Arial" w:hint="cs"/>
                <w:bCs/>
                <w:sz w:val="24"/>
                <w:szCs w:val="24"/>
                <w:rtl/>
              </w:rPr>
              <w:t xml:space="preserve"> </w:t>
            </w:r>
            <w:r w:rsidR="00FF3AD9">
              <w:rPr>
                <w:rFonts w:ascii="Calibri" w:hAnsi="Calibri" w:cs="Arial"/>
                <w:bCs/>
                <w:sz w:val="36"/>
                <w:szCs w:val="36"/>
                <w:lang w:bidi="ar-IQ"/>
              </w:rPr>
              <w:t>2</w:t>
            </w:r>
            <w:r w:rsidR="00285C21">
              <w:rPr>
                <w:sz w:val="32"/>
                <w:szCs w:val="32"/>
                <w:lang w:bidi="ar-IQ"/>
              </w:rPr>
              <w:t>\202</w:t>
            </w:r>
            <w:r w:rsidR="00AD50A7">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062E8A">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062E8A">
              <w:rPr>
                <w:rFonts w:hint="cs"/>
                <w:sz w:val="24"/>
                <w:szCs w:val="24"/>
                <w:rtl/>
                <w:lang w:bidi="ar-IQ"/>
              </w:rPr>
              <w:t>23</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59353C">
              <w:rPr>
                <w:rFonts w:hint="cs"/>
                <w:sz w:val="24"/>
                <w:szCs w:val="24"/>
                <w:highlight w:val="yellow"/>
                <w:rtl/>
                <w:lang w:bidi="ar-IQ"/>
              </w:rPr>
              <w:t>7</w:t>
            </w:r>
            <w:r w:rsidR="000744B5" w:rsidRPr="003A714A">
              <w:rPr>
                <w:rFonts w:hint="cs"/>
                <w:sz w:val="24"/>
                <w:szCs w:val="24"/>
                <w:highlight w:val="yellow"/>
                <w:rtl/>
              </w:rPr>
              <w:t xml:space="preserve">  </w:t>
            </w:r>
            <w:r w:rsidRPr="003A714A">
              <w:rPr>
                <w:rFonts w:hint="cs"/>
                <w:sz w:val="24"/>
                <w:szCs w:val="24"/>
                <w:highlight w:val="yellow"/>
                <w:rtl/>
              </w:rPr>
              <w:t>/</w:t>
            </w:r>
            <w:r w:rsidR="004149D0">
              <w:rPr>
                <w:rFonts w:hint="cs"/>
                <w:sz w:val="24"/>
                <w:szCs w:val="24"/>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005C6FB9">
              <w:rPr>
                <w:rFonts w:hint="cs"/>
                <w:sz w:val="24"/>
                <w:szCs w:val="24"/>
                <w:rtl/>
                <w:lang w:bidi="ar-DZ"/>
              </w:rPr>
              <w:t>202</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062E8A">
              <w:rPr>
                <w:rFonts w:hint="cs"/>
                <w:color w:val="000000"/>
                <w:spacing w:val="-2"/>
                <w:sz w:val="24"/>
                <w:szCs w:val="24"/>
                <w:highlight w:val="yellow"/>
                <w:rtl/>
                <w:lang w:bidi="ar-IQ"/>
              </w:rPr>
              <w:t>5</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59353C">
              <w:rPr>
                <w:rFonts w:hint="cs"/>
                <w:color w:val="000000"/>
                <w:spacing w:val="-2"/>
                <w:sz w:val="24"/>
                <w:szCs w:val="24"/>
                <w:highlight w:val="yellow"/>
                <w:rtl/>
              </w:rPr>
              <w:t>8</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1320" w:type="dxa"/>
        <w:tblInd w:w="93" w:type="dxa"/>
        <w:tblLook w:val="04A0" w:firstRow="1" w:lastRow="0" w:firstColumn="1" w:lastColumn="0" w:noHBand="0" w:noVBand="1"/>
      </w:tblPr>
      <w:tblGrid>
        <w:gridCol w:w="580"/>
        <w:gridCol w:w="1420"/>
        <w:gridCol w:w="3180"/>
        <w:gridCol w:w="2260"/>
        <w:gridCol w:w="1380"/>
        <w:gridCol w:w="960"/>
        <w:gridCol w:w="1540"/>
      </w:tblGrid>
      <w:tr w:rsidR="00FF3AD9" w:rsidRPr="00FF3AD9" w:rsidTr="00FF3AD9">
        <w:trPr>
          <w:trHeight w:val="510"/>
        </w:trPr>
        <w:tc>
          <w:tcPr>
            <w:tcW w:w="11320" w:type="dxa"/>
            <w:gridSpan w:val="7"/>
            <w:tcBorders>
              <w:top w:val="single" w:sz="4" w:space="0" w:color="auto"/>
              <w:left w:val="single" w:sz="4" w:space="0" w:color="auto"/>
              <w:bottom w:val="single" w:sz="4" w:space="0" w:color="auto"/>
              <w:right w:val="single" w:sz="4" w:space="0" w:color="auto"/>
            </w:tcBorders>
            <w:shd w:val="clear" w:color="000000" w:fill="E26B0A"/>
            <w:vAlign w:val="center"/>
            <w:hideMark/>
          </w:tcPr>
          <w:p w:rsidR="00FF3AD9" w:rsidRPr="00FF3AD9" w:rsidRDefault="00FF3AD9" w:rsidP="00FF3AD9">
            <w:pPr>
              <w:spacing w:after="0" w:line="240" w:lineRule="auto"/>
              <w:jc w:val="center"/>
              <w:rPr>
                <w:rFonts w:ascii="Arial" w:eastAsia="Times New Roman" w:hAnsi="Arial" w:cs="Arial"/>
                <w:b/>
                <w:bCs/>
                <w:color w:val="000000"/>
              </w:rPr>
            </w:pPr>
            <w:r w:rsidRPr="00FF3AD9">
              <w:rPr>
                <w:rFonts w:ascii="Arial" w:eastAsia="Times New Roman" w:hAnsi="Arial" w:cs="Arial"/>
                <w:b/>
                <w:bCs/>
                <w:color w:val="000000"/>
              </w:rPr>
              <w:lastRenderedPageBreak/>
              <w:t xml:space="preserve">  </w:t>
            </w:r>
            <w:bookmarkStart w:id="1" w:name="RANGE!A1:G3"/>
            <w:r w:rsidRPr="00FF3AD9">
              <w:rPr>
                <w:rFonts w:ascii="Arial" w:eastAsia="Times New Roman" w:hAnsi="Arial" w:cs="Arial"/>
                <w:b/>
                <w:bCs/>
                <w:color w:val="000000"/>
              </w:rPr>
              <w:t xml:space="preserve">2-2024Bc </w:t>
            </w:r>
            <w:r w:rsidRPr="00FF3AD9">
              <w:rPr>
                <w:rFonts w:ascii="Arial" w:eastAsia="Times New Roman" w:hAnsi="Arial" w:cs="Arial"/>
                <w:b/>
                <w:bCs/>
                <w:color w:val="000000"/>
                <w:rtl/>
              </w:rPr>
              <w:t>مصانع وطني</w:t>
            </w:r>
            <w:r w:rsidRPr="00FF3AD9">
              <w:rPr>
                <w:rFonts w:ascii="Arial" w:eastAsia="Times New Roman" w:hAnsi="Arial" w:cs="Arial"/>
                <w:b/>
                <w:bCs/>
                <w:color w:val="000000"/>
              </w:rPr>
              <w:t xml:space="preserve"> </w:t>
            </w:r>
            <w:bookmarkEnd w:id="1"/>
          </w:p>
        </w:tc>
      </w:tr>
      <w:tr w:rsidR="00FF3AD9" w:rsidRPr="00FF3AD9" w:rsidTr="00FF3AD9">
        <w:trPr>
          <w:trHeight w:val="825"/>
        </w:trPr>
        <w:tc>
          <w:tcPr>
            <w:tcW w:w="580" w:type="dxa"/>
            <w:tcBorders>
              <w:top w:val="nil"/>
              <w:left w:val="single" w:sz="4" w:space="0" w:color="auto"/>
              <w:bottom w:val="single" w:sz="4" w:space="0" w:color="auto"/>
              <w:right w:val="single" w:sz="4" w:space="0" w:color="auto"/>
            </w:tcBorders>
            <w:shd w:val="clear" w:color="000000" w:fill="D9D9D9"/>
            <w:vAlign w:val="center"/>
            <w:hideMark/>
          </w:tcPr>
          <w:p w:rsidR="00FF3AD9" w:rsidRPr="00FF3AD9" w:rsidRDefault="00FF3AD9" w:rsidP="00FF3AD9">
            <w:pPr>
              <w:spacing w:after="0" w:line="240" w:lineRule="auto"/>
              <w:jc w:val="center"/>
              <w:rPr>
                <w:rFonts w:ascii="Arial" w:eastAsia="Times New Roman" w:hAnsi="Arial" w:cs="Arial"/>
                <w:b/>
                <w:bCs/>
                <w:color w:val="000000"/>
                <w:sz w:val="24"/>
                <w:szCs w:val="24"/>
              </w:rPr>
            </w:pPr>
            <w:r w:rsidRPr="00FF3AD9">
              <w:rPr>
                <w:rFonts w:ascii="Arial" w:eastAsia="Times New Roman" w:hAnsi="Arial" w:cs="Arial"/>
                <w:b/>
                <w:bCs/>
                <w:color w:val="000000"/>
                <w:sz w:val="24"/>
                <w:szCs w:val="24"/>
              </w:rPr>
              <w:t>no</w:t>
            </w:r>
          </w:p>
        </w:tc>
        <w:tc>
          <w:tcPr>
            <w:tcW w:w="1420" w:type="dxa"/>
            <w:tcBorders>
              <w:top w:val="nil"/>
              <w:left w:val="nil"/>
              <w:bottom w:val="single" w:sz="4" w:space="0" w:color="auto"/>
              <w:right w:val="single" w:sz="4" w:space="0" w:color="auto"/>
            </w:tcBorders>
            <w:shd w:val="clear" w:color="000000" w:fill="D9D9D9"/>
            <w:vAlign w:val="center"/>
            <w:hideMark/>
          </w:tcPr>
          <w:p w:rsidR="00FF3AD9" w:rsidRPr="00FF3AD9" w:rsidRDefault="00FF3AD9" w:rsidP="00FF3AD9">
            <w:pPr>
              <w:spacing w:after="0" w:line="240" w:lineRule="auto"/>
              <w:jc w:val="center"/>
              <w:rPr>
                <w:rFonts w:ascii="Arial" w:eastAsia="Times New Roman" w:hAnsi="Arial" w:cs="Arial"/>
                <w:b/>
                <w:bCs/>
                <w:color w:val="000000"/>
              </w:rPr>
            </w:pPr>
            <w:r w:rsidRPr="00FF3AD9">
              <w:rPr>
                <w:rFonts w:ascii="Arial" w:eastAsia="Times New Roman" w:hAnsi="Arial" w:cs="Arial"/>
                <w:b/>
                <w:bCs/>
                <w:color w:val="000000"/>
              </w:rPr>
              <w:t>National code</w:t>
            </w:r>
          </w:p>
        </w:tc>
        <w:tc>
          <w:tcPr>
            <w:tcW w:w="3180" w:type="dxa"/>
            <w:tcBorders>
              <w:top w:val="nil"/>
              <w:left w:val="nil"/>
              <w:bottom w:val="single" w:sz="4" w:space="0" w:color="auto"/>
              <w:right w:val="single" w:sz="4" w:space="0" w:color="auto"/>
            </w:tcBorders>
            <w:shd w:val="clear" w:color="000000" w:fill="D9D9D9"/>
            <w:vAlign w:val="center"/>
            <w:hideMark/>
          </w:tcPr>
          <w:p w:rsidR="00FF3AD9" w:rsidRPr="00FF3AD9" w:rsidRDefault="00FF3AD9" w:rsidP="00FF3AD9">
            <w:pPr>
              <w:spacing w:after="0" w:line="240" w:lineRule="auto"/>
              <w:jc w:val="center"/>
              <w:rPr>
                <w:rFonts w:ascii="Arial" w:eastAsia="Times New Roman" w:hAnsi="Arial" w:cs="Arial"/>
                <w:b/>
                <w:bCs/>
                <w:color w:val="000000"/>
              </w:rPr>
            </w:pPr>
            <w:r w:rsidRPr="00FF3AD9">
              <w:rPr>
                <w:rFonts w:ascii="Arial" w:eastAsia="Times New Roman" w:hAnsi="Arial" w:cs="Arial"/>
                <w:b/>
                <w:bCs/>
                <w:color w:val="000000"/>
              </w:rPr>
              <w:t>Generic name</w:t>
            </w:r>
          </w:p>
        </w:tc>
        <w:tc>
          <w:tcPr>
            <w:tcW w:w="2260" w:type="dxa"/>
            <w:tcBorders>
              <w:top w:val="nil"/>
              <w:left w:val="nil"/>
              <w:bottom w:val="single" w:sz="4" w:space="0" w:color="auto"/>
              <w:right w:val="single" w:sz="4" w:space="0" w:color="auto"/>
            </w:tcBorders>
            <w:shd w:val="clear" w:color="000000" w:fill="D9D9D9"/>
            <w:vAlign w:val="center"/>
            <w:hideMark/>
          </w:tcPr>
          <w:p w:rsidR="00FF3AD9" w:rsidRPr="00FF3AD9" w:rsidRDefault="00FF3AD9" w:rsidP="00FF3AD9">
            <w:pPr>
              <w:spacing w:after="0" w:line="240" w:lineRule="auto"/>
              <w:jc w:val="center"/>
              <w:rPr>
                <w:rFonts w:ascii="Arial" w:eastAsia="Times New Roman" w:hAnsi="Arial" w:cs="Arial"/>
                <w:b/>
                <w:bCs/>
                <w:color w:val="000000"/>
              </w:rPr>
            </w:pPr>
            <w:r w:rsidRPr="00FF3AD9">
              <w:rPr>
                <w:rFonts w:ascii="Arial" w:eastAsia="Times New Roman" w:hAnsi="Arial" w:cs="Arial"/>
                <w:b/>
                <w:bCs/>
                <w:color w:val="000000"/>
              </w:rPr>
              <w:t>NOTE NEED</w:t>
            </w:r>
          </w:p>
        </w:tc>
        <w:tc>
          <w:tcPr>
            <w:tcW w:w="1380" w:type="dxa"/>
            <w:tcBorders>
              <w:top w:val="nil"/>
              <w:left w:val="nil"/>
              <w:bottom w:val="single" w:sz="4" w:space="0" w:color="auto"/>
              <w:right w:val="single" w:sz="4" w:space="0" w:color="auto"/>
            </w:tcBorders>
            <w:shd w:val="clear" w:color="000000" w:fill="D9D9D9"/>
            <w:vAlign w:val="center"/>
            <w:hideMark/>
          </w:tcPr>
          <w:p w:rsidR="00FF3AD9" w:rsidRPr="00FF3AD9" w:rsidRDefault="00FF3AD9" w:rsidP="00FF3AD9">
            <w:pPr>
              <w:spacing w:after="0" w:line="240" w:lineRule="auto"/>
              <w:jc w:val="center"/>
              <w:rPr>
                <w:rFonts w:ascii="Arial" w:eastAsia="Times New Roman" w:hAnsi="Arial" w:cs="Arial"/>
                <w:b/>
                <w:bCs/>
                <w:color w:val="000000"/>
              </w:rPr>
            </w:pPr>
            <w:r w:rsidRPr="00FF3AD9">
              <w:rPr>
                <w:rFonts w:ascii="Arial" w:eastAsia="Times New Roman" w:hAnsi="Arial" w:cs="Arial"/>
                <w:b/>
                <w:bCs/>
                <w:color w:val="000000"/>
              </w:rPr>
              <w:t>Need 2025</w:t>
            </w:r>
          </w:p>
        </w:tc>
        <w:tc>
          <w:tcPr>
            <w:tcW w:w="960" w:type="dxa"/>
            <w:tcBorders>
              <w:top w:val="nil"/>
              <w:left w:val="nil"/>
              <w:bottom w:val="single" w:sz="4" w:space="0" w:color="auto"/>
              <w:right w:val="single" w:sz="4" w:space="0" w:color="auto"/>
            </w:tcBorders>
            <w:shd w:val="clear" w:color="000000" w:fill="D9D9D9"/>
            <w:vAlign w:val="center"/>
            <w:hideMark/>
          </w:tcPr>
          <w:p w:rsidR="00FF3AD9" w:rsidRPr="00FF3AD9" w:rsidRDefault="00FF3AD9" w:rsidP="00FF3AD9">
            <w:pPr>
              <w:spacing w:after="0" w:line="240" w:lineRule="auto"/>
              <w:jc w:val="center"/>
              <w:rPr>
                <w:rFonts w:ascii="Arial" w:eastAsia="Times New Roman" w:hAnsi="Arial" w:cs="Arial"/>
                <w:b/>
                <w:bCs/>
                <w:color w:val="000000"/>
              </w:rPr>
            </w:pPr>
            <w:r w:rsidRPr="00FF3AD9">
              <w:rPr>
                <w:rFonts w:ascii="Arial" w:eastAsia="Times New Roman" w:hAnsi="Arial" w:cs="Arial"/>
                <w:b/>
                <w:bCs/>
                <w:color w:val="000000"/>
              </w:rPr>
              <w:t>pack size</w:t>
            </w:r>
          </w:p>
        </w:tc>
        <w:tc>
          <w:tcPr>
            <w:tcW w:w="1540" w:type="dxa"/>
            <w:tcBorders>
              <w:top w:val="nil"/>
              <w:left w:val="nil"/>
              <w:bottom w:val="single" w:sz="4" w:space="0" w:color="auto"/>
              <w:right w:val="single" w:sz="4" w:space="0" w:color="auto"/>
            </w:tcBorders>
            <w:shd w:val="clear" w:color="000000" w:fill="D9D9D9"/>
            <w:vAlign w:val="center"/>
            <w:hideMark/>
          </w:tcPr>
          <w:p w:rsidR="00FF3AD9" w:rsidRPr="00FF3AD9" w:rsidRDefault="00FF3AD9" w:rsidP="00FF3AD9">
            <w:pPr>
              <w:bidi/>
              <w:spacing w:after="0" w:line="240" w:lineRule="auto"/>
              <w:jc w:val="center"/>
              <w:rPr>
                <w:rFonts w:ascii="Arial" w:eastAsia="Times New Roman" w:hAnsi="Arial" w:cs="Arial"/>
                <w:b/>
                <w:bCs/>
                <w:color w:val="000000"/>
              </w:rPr>
            </w:pPr>
            <w:r w:rsidRPr="00FF3AD9">
              <w:rPr>
                <w:rFonts w:ascii="Arial" w:eastAsia="Times New Roman" w:hAnsi="Arial" w:cs="Arial"/>
                <w:b/>
                <w:bCs/>
                <w:color w:val="000000"/>
                <w:rtl/>
              </w:rPr>
              <w:t xml:space="preserve">كلفة 2025 </w:t>
            </w:r>
            <w:r w:rsidRPr="00FF3AD9">
              <w:rPr>
                <w:rFonts w:ascii="Arial" w:eastAsia="Times New Roman" w:hAnsi="Arial" w:cs="Arial"/>
                <w:b/>
                <w:bCs/>
                <w:color w:val="000000"/>
              </w:rPr>
              <w:t>ID</w:t>
            </w:r>
          </w:p>
        </w:tc>
      </w:tr>
      <w:tr w:rsidR="00FF3AD9" w:rsidRPr="00FF3AD9" w:rsidTr="00FF3AD9">
        <w:trPr>
          <w:trHeight w:val="1965"/>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F3AD9" w:rsidRPr="00FF3AD9" w:rsidRDefault="00FF3AD9" w:rsidP="00FF3AD9">
            <w:pPr>
              <w:spacing w:after="0" w:line="240" w:lineRule="auto"/>
              <w:jc w:val="center"/>
              <w:rPr>
                <w:rFonts w:ascii="Arial" w:eastAsia="Times New Roman" w:hAnsi="Arial" w:cs="Arial"/>
                <w:b/>
                <w:bCs/>
                <w:sz w:val="20"/>
                <w:szCs w:val="20"/>
              </w:rPr>
            </w:pPr>
            <w:r w:rsidRPr="00FF3AD9">
              <w:rPr>
                <w:rFonts w:ascii="Arial" w:eastAsia="Times New Roman" w:hAnsi="Arial" w:cs="Arial"/>
                <w:b/>
                <w:bCs/>
                <w:sz w:val="20"/>
                <w:szCs w:val="20"/>
              </w:rPr>
              <w:t>1</w:t>
            </w:r>
          </w:p>
        </w:tc>
        <w:tc>
          <w:tcPr>
            <w:tcW w:w="1420" w:type="dxa"/>
            <w:tcBorders>
              <w:top w:val="nil"/>
              <w:left w:val="nil"/>
              <w:bottom w:val="single" w:sz="4" w:space="0" w:color="auto"/>
              <w:right w:val="single" w:sz="4" w:space="0" w:color="auto"/>
            </w:tcBorders>
            <w:shd w:val="clear" w:color="000000" w:fill="FFFFFF"/>
            <w:vAlign w:val="center"/>
            <w:hideMark/>
          </w:tcPr>
          <w:p w:rsidR="00FF3AD9" w:rsidRPr="00FF3AD9" w:rsidRDefault="00FF3AD9" w:rsidP="00FF3AD9">
            <w:pPr>
              <w:spacing w:after="0" w:line="240" w:lineRule="auto"/>
              <w:jc w:val="center"/>
              <w:rPr>
                <w:rFonts w:ascii="Arial" w:eastAsia="Times New Roman" w:hAnsi="Arial" w:cs="Arial"/>
                <w:b/>
                <w:bCs/>
                <w:sz w:val="20"/>
                <w:szCs w:val="20"/>
              </w:rPr>
            </w:pPr>
            <w:r w:rsidRPr="00FF3AD9">
              <w:rPr>
                <w:rFonts w:ascii="Arial" w:eastAsia="Times New Roman" w:hAnsi="Arial" w:cs="Arial"/>
                <w:b/>
                <w:bCs/>
                <w:sz w:val="20"/>
                <w:szCs w:val="20"/>
              </w:rPr>
              <w:t>15-AA0-020</w:t>
            </w:r>
          </w:p>
        </w:tc>
        <w:tc>
          <w:tcPr>
            <w:tcW w:w="3180" w:type="dxa"/>
            <w:tcBorders>
              <w:top w:val="nil"/>
              <w:left w:val="nil"/>
              <w:bottom w:val="single" w:sz="4" w:space="0" w:color="auto"/>
              <w:right w:val="single" w:sz="4" w:space="0" w:color="auto"/>
            </w:tcBorders>
            <w:shd w:val="clear" w:color="000000" w:fill="FFFFFF"/>
            <w:vAlign w:val="center"/>
            <w:hideMark/>
          </w:tcPr>
          <w:p w:rsidR="00FF3AD9" w:rsidRPr="00FF3AD9" w:rsidRDefault="00FF3AD9" w:rsidP="00FF3AD9">
            <w:pPr>
              <w:spacing w:after="0" w:line="240" w:lineRule="auto"/>
              <w:jc w:val="center"/>
              <w:rPr>
                <w:rFonts w:ascii="Arial" w:eastAsia="Times New Roman" w:hAnsi="Arial" w:cs="Arial"/>
                <w:b/>
                <w:bCs/>
                <w:sz w:val="20"/>
                <w:szCs w:val="20"/>
              </w:rPr>
            </w:pPr>
            <w:r w:rsidRPr="00FF3AD9">
              <w:rPr>
                <w:rFonts w:ascii="Arial" w:eastAsia="Times New Roman" w:hAnsi="Arial" w:cs="Arial"/>
                <w:b/>
                <w:bCs/>
                <w:sz w:val="20"/>
                <w:szCs w:val="20"/>
              </w:rPr>
              <w:t>Mesna  100mg/ml, (4ml) Injection vial or ampoule                1214</w:t>
            </w:r>
            <w:r w:rsidRPr="00FF3AD9">
              <w:rPr>
                <w:rFonts w:ascii="Arial" w:eastAsia="Times New Roman" w:hAnsi="Arial" w:cs="Arial"/>
                <w:b/>
                <w:bCs/>
                <w:sz w:val="20"/>
                <w:szCs w:val="20"/>
              </w:rPr>
              <w:br/>
            </w:r>
            <w:r w:rsidRPr="00FF3AD9">
              <w:rPr>
                <w:rFonts w:ascii="Arial" w:eastAsia="Times New Roman" w:hAnsi="Arial" w:cs="Arial"/>
                <w:b/>
                <w:bCs/>
                <w:sz w:val="20"/>
                <w:szCs w:val="20"/>
                <w:rtl/>
              </w:rPr>
              <w:t>يتم صرفه في مراكز المفاصل التي يتم فيها صرف مادة</w:t>
            </w:r>
            <w:r w:rsidRPr="00FF3AD9">
              <w:rPr>
                <w:rFonts w:ascii="Arial" w:eastAsia="Times New Roman" w:hAnsi="Arial" w:cs="Arial"/>
                <w:b/>
                <w:bCs/>
                <w:sz w:val="20"/>
                <w:szCs w:val="20"/>
              </w:rPr>
              <w:t xml:space="preserve">  Cyclophosphamide 500mg vial Injection</w:t>
            </w:r>
          </w:p>
        </w:tc>
        <w:tc>
          <w:tcPr>
            <w:tcW w:w="2260" w:type="dxa"/>
            <w:tcBorders>
              <w:top w:val="nil"/>
              <w:left w:val="nil"/>
              <w:bottom w:val="single" w:sz="4" w:space="0" w:color="auto"/>
              <w:right w:val="single" w:sz="4" w:space="0" w:color="auto"/>
            </w:tcBorders>
            <w:shd w:val="clear" w:color="000000" w:fill="FFFFFF"/>
            <w:vAlign w:val="center"/>
            <w:hideMark/>
          </w:tcPr>
          <w:p w:rsidR="00FF3AD9" w:rsidRPr="00FF3AD9" w:rsidRDefault="00FF3AD9" w:rsidP="00FF3AD9">
            <w:pPr>
              <w:spacing w:after="0" w:line="240" w:lineRule="auto"/>
              <w:jc w:val="center"/>
              <w:rPr>
                <w:rFonts w:ascii="Arial" w:eastAsia="Times New Roman" w:hAnsi="Arial" w:cs="Arial"/>
                <w:b/>
                <w:bCs/>
                <w:sz w:val="20"/>
                <w:szCs w:val="20"/>
              </w:rPr>
            </w:pPr>
            <w:r w:rsidRPr="00FF3AD9">
              <w:rPr>
                <w:rFonts w:ascii="Arial" w:eastAsia="Times New Roman" w:hAnsi="Arial" w:cs="Arial"/>
                <w:b/>
                <w:bCs/>
                <w:sz w:val="20"/>
                <w:szCs w:val="20"/>
              </w:rPr>
              <w:t> </w:t>
            </w:r>
          </w:p>
        </w:tc>
        <w:tc>
          <w:tcPr>
            <w:tcW w:w="1380" w:type="dxa"/>
            <w:tcBorders>
              <w:top w:val="nil"/>
              <w:left w:val="nil"/>
              <w:bottom w:val="single" w:sz="4" w:space="0" w:color="auto"/>
              <w:right w:val="single" w:sz="4" w:space="0" w:color="auto"/>
            </w:tcBorders>
            <w:shd w:val="clear" w:color="000000" w:fill="FFFFFF"/>
            <w:vAlign w:val="center"/>
            <w:hideMark/>
          </w:tcPr>
          <w:p w:rsidR="00FF3AD9" w:rsidRPr="00FF3AD9" w:rsidRDefault="00FF3AD9" w:rsidP="00FF3AD9">
            <w:pPr>
              <w:spacing w:after="0" w:line="240" w:lineRule="auto"/>
              <w:jc w:val="center"/>
              <w:rPr>
                <w:rFonts w:ascii="Arial" w:eastAsia="Times New Roman" w:hAnsi="Arial" w:cs="Arial"/>
                <w:b/>
                <w:bCs/>
                <w:sz w:val="20"/>
                <w:szCs w:val="20"/>
              </w:rPr>
            </w:pPr>
            <w:r w:rsidRPr="00FF3AD9">
              <w:rPr>
                <w:rFonts w:ascii="Arial" w:eastAsia="Times New Roman" w:hAnsi="Arial" w:cs="Arial"/>
                <w:b/>
                <w:bCs/>
                <w:sz w:val="20"/>
                <w:szCs w:val="20"/>
              </w:rPr>
              <w:t>139525</w:t>
            </w:r>
          </w:p>
        </w:tc>
        <w:tc>
          <w:tcPr>
            <w:tcW w:w="960" w:type="dxa"/>
            <w:tcBorders>
              <w:top w:val="nil"/>
              <w:left w:val="nil"/>
              <w:bottom w:val="single" w:sz="4" w:space="0" w:color="auto"/>
              <w:right w:val="single" w:sz="4" w:space="0" w:color="auto"/>
            </w:tcBorders>
            <w:shd w:val="clear" w:color="000000" w:fill="FFFFFF"/>
            <w:noWrap/>
            <w:vAlign w:val="center"/>
            <w:hideMark/>
          </w:tcPr>
          <w:p w:rsidR="00FF3AD9" w:rsidRPr="00FF3AD9" w:rsidRDefault="00FF3AD9" w:rsidP="00FF3AD9">
            <w:pPr>
              <w:spacing w:after="0" w:line="240" w:lineRule="auto"/>
              <w:jc w:val="center"/>
              <w:rPr>
                <w:rFonts w:ascii="Arial" w:eastAsia="Times New Roman" w:hAnsi="Arial" w:cs="Arial"/>
                <w:b/>
                <w:bCs/>
                <w:sz w:val="20"/>
                <w:szCs w:val="20"/>
              </w:rPr>
            </w:pPr>
            <w:r w:rsidRPr="00FF3AD9">
              <w:rPr>
                <w:rFonts w:ascii="Arial" w:eastAsia="Times New Roman" w:hAnsi="Arial" w:cs="Arial"/>
                <w:b/>
                <w:bCs/>
                <w:sz w:val="20"/>
                <w:szCs w:val="20"/>
              </w:rPr>
              <w:t>5AMP</w:t>
            </w:r>
          </w:p>
        </w:tc>
        <w:tc>
          <w:tcPr>
            <w:tcW w:w="1540" w:type="dxa"/>
            <w:tcBorders>
              <w:top w:val="nil"/>
              <w:left w:val="nil"/>
              <w:bottom w:val="single" w:sz="4" w:space="0" w:color="auto"/>
              <w:right w:val="single" w:sz="4" w:space="0" w:color="auto"/>
            </w:tcBorders>
            <w:shd w:val="clear" w:color="000000" w:fill="FFFFFF"/>
            <w:noWrap/>
            <w:vAlign w:val="center"/>
            <w:hideMark/>
          </w:tcPr>
          <w:p w:rsidR="00FF3AD9" w:rsidRPr="00FF3AD9" w:rsidRDefault="00FF3AD9" w:rsidP="00FF3AD9">
            <w:pPr>
              <w:spacing w:after="0" w:line="240" w:lineRule="auto"/>
              <w:jc w:val="center"/>
              <w:rPr>
                <w:rFonts w:ascii="Arial" w:eastAsia="Times New Roman" w:hAnsi="Arial" w:cs="Arial"/>
                <w:b/>
                <w:bCs/>
                <w:sz w:val="20"/>
                <w:szCs w:val="20"/>
              </w:rPr>
            </w:pPr>
            <w:r w:rsidRPr="00FF3AD9">
              <w:rPr>
                <w:rFonts w:ascii="Arial" w:eastAsia="Times New Roman" w:hAnsi="Arial" w:cs="Arial"/>
                <w:b/>
                <w:bCs/>
                <w:sz w:val="20"/>
                <w:szCs w:val="20"/>
              </w:rPr>
              <w:t>4488</w:t>
            </w:r>
          </w:p>
        </w:tc>
      </w:tr>
    </w:tbl>
    <w:p w:rsidR="006C79F8" w:rsidRDefault="006C79F8"/>
    <w:p w:rsidR="00062E8A" w:rsidRDefault="00062E8A"/>
    <w:p w:rsidR="00062E8A" w:rsidRDefault="00062E8A"/>
    <w:p w:rsidR="00062E8A" w:rsidRDefault="00062E8A"/>
    <w:p w:rsidR="00062E8A" w:rsidRDefault="00062E8A"/>
    <w:p w:rsidR="006C79F8" w:rsidRDefault="006C79F8"/>
    <w:p w:rsidR="00540120" w:rsidRDefault="00540120"/>
    <w:p w:rsidR="00540120" w:rsidRDefault="00540120"/>
    <w:p w:rsidR="00766998" w:rsidRDefault="00766998"/>
    <w:p w:rsidR="00766998" w:rsidRDefault="00766998"/>
    <w:p w:rsidR="00766998" w:rsidRDefault="00766998"/>
    <w:p w:rsidR="00766998" w:rsidRDefault="00766998"/>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766998">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مصانع وطني</w:t>
            </w:r>
            <w:r w:rsidR="00062E8A">
              <w:rPr>
                <w:rFonts w:hint="cs"/>
                <w:color w:val="000000"/>
                <w:sz w:val="24"/>
                <w:szCs w:val="24"/>
                <w:highlight w:val="yellow"/>
                <w:rtl/>
                <w:lang w:bidi="ar-IQ"/>
              </w:rPr>
              <w:t xml:space="preserve"> </w:t>
            </w:r>
            <w:r w:rsidR="00062E8A" w:rsidRPr="00981867">
              <w:rPr>
                <w:b/>
                <w:bCs/>
                <w:color w:val="000000"/>
                <w:sz w:val="32"/>
                <w:szCs w:val="32"/>
                <w:highlight w:val="yellow"/>
              </w:rPr>
              <w:t>Bc</w:t>
            </w:r>
            <w:r w:rsidR="00A63ABA" w:rsidRPr="00981867">
              <w:rPr>
                <w:rFonts w:hint="cs"/>
                <w:color w:val="000000"/>
                <w:sz w:val="32"/>
                <w:szCs w:val="32"/>
                <w:highlight w:val="yellow"/>
                <w:rtl/>
              </w:rPr>
              <w:t xml:space="preserve"> </w:t>
            </w:r>
            <w:r w:rsidR="00285C21" w:rsidRPr="000744B5">
              <w:rPr>
                <w:sz w:val="32"/>
                <w:szCs w:val="32"/>
                <w:highlight w:val="yellow"/>
                <w:lang w:bidi="ar-IQ"/>
              </w:rPr>
              <w:t>\202</w:t>
            </w:r>
            <w:r w:rsidR="002F6B8F">
              <w:rPr>
                <w:sz w:val="32"/>
                <w:szCs w:val="32"/>
                <w:lang w:bidi="ar-IQ"/>
              </w:rPr>
              <w:t>4</w:t>
            </w:r>
            <w:r w:rsidR="00662BB7">
              <w:rPr>
                <w:rFonts w:hint="cs"/>
                <w:sz w:val="32"/>
                <w:szCs w:val="32"/>
                <w:rtl/>
                <w:lang w:bidi="ar-IQ"/>
              </w:rPr>
              <w:t xml:space="preserve"> </w:t>
            </w:r>
            <w:r w:rsidR="00062E8A">
              <w:rPr>
                <w:sz w:val="32"/>
                <w:szCs w:val="32"/>
                <w:lang w:bidi="ar-IQ"/>
              </w:rPr>
              <w:t xml:space="preserve"> </w:t>
            </w:r>
            <w:r w:rsidR="00766998">
              <w:rPr>
                <w:sz w:val="32"/>
                <w:szCs w:val="32"/>
                <w:lang w:bidi="ar-IQ"/>
              </w:rPr>
              <w:t>2</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766998">
            <w:pPr>
              <w:bidi/>
              <w:spacing w:line="300" w:lineRule="exact"/>
              <w:jc w:val="both"/>
              <w:rPr>
                <w:rFonts w:hint="cs"/>
                <w:color w:val="000000"/>
                <w:sz w:val="24"/>
                <w:szCs w:val="24"/>
                <w:rtl/>
                <w:lang w:bidi="ar-IQ"/>
              </w:rPr>
            </w:pPr>
            <w:r w:rsidRPr="00825AE7">
              <w:rPr>
                <w:color w:val="000000"/>
                <w:sz w:val="24"/>
                <w:szCs w:val="24"/>
                <w:rtl/>
              </w:rPr>
              <w:t>رقم كتاب الدعوة</w:t>
            </w:r>
            <w:r w:rsidR="00062E8A">
              <w:rPr>
                <w:color w:val="000000"/>
                <w:sz w:val="24"/>
                <w:szCs w:val="24"/>
              </w:rPr>
              <w:t xml:space="preserve">bc </w:t>
            </w:r>
            <w:r w:rsidR="00766998">
              <w:rPr>
                <w:rFonts w:hint="cs"/>
                <w:color w:val="000000"/>
                <w:sz w:val="24"/>
                <w:szCs w:val="24"/>
                <w:rtl/>
                <w:lang w:bidi="ar-IQ"/>
              </w:rPr>
              <w:t>2</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B25D75">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B25D75">
              <w:rPr>
                <w:rFonts w:hint="cs"/>
                <w:color w:val="000000"/>
                <w:sz w:val="24"/>
                <w:szCs w:val="24"/>
                <w:rtl/>
              </w:rPr>
              <w:t>ل</w:t>
            </w:r>
            <w:r w:rsidRPr="00825AE7">
              <w:rPr>
                <w:rFonts w:hint="cs"/>
                <w:color w:val="000000"/>
                <w:sz w:val="24"/>
                <w:szCs w:val="24"/>
                <w:rtl/>
              </w:rPr>
              <w:t xml:space="preserve">عام </w:t>
            </w:r>
            <w:r w:rsidR="00594D13" w:rsidRPr="00825AE7">
              <w:rPr>
                <w:rFonts w:hint="cs"/>
                <w:b/>
                <w:bCs/>
                <w:color w:val="000000" w:themeColor="text1"/>
                <w:sz w:val="24"/>
                <w:szCs w:val="24"/>
                <w:highlight w:val="yellow"/>
                <w:rtl/>
              </w:rPr>
              <w:t>202</w:t>
            </w:r>
            <w:r w:rsidR="00B25D75">
              <w:rPr>
                <w:rFonts w:hint="cs"/>
                <w:b/>
                <w:bCs/>
                <w:color w:val="000000" w:themeColor="text1"/>
                <w:sz w:val="24"/>
                <w:szCs w:val="24"/>
                <w:rtl/>
              </w:rPr>
              <w:t>4</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062E8A">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062E8A">
              <w:rPr>
                <w:rFonts w:hint="cs"/>
                <w:color w:val="000000"/>
                <w:sz w:val="24"/>
                <w:szCs w:val="24"/>
                <w:rtl/>
                <w:lang w:bidi="ar-IQ"/>
              </w:rPr>
              <w:t>5</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59353C">
              <w:rPr>
                <w:rFonts w:hint="cs"/>
                <w:color w:val="000000"/>
                <w:sz w:val="24"/>
                <w:szCs w:val="24"/>
                <w:highlight w:val="yellow"/>
                <w:rtl/>
                <w:lang w:bidi="ar-IQ"/>
              </w:rPr>
              <w:t>8</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062E8A">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062E8A">
              <w:rPr>
                <w:rFonts w:hint="cs"/>
                <w:color w:val="000000"/>
                <w:sz w:val="24"/>
                <w:szCs w:val="24"/>
                <w:highlight w:val="yellow"/>
                <w:rtl/>
              </w:rPr>
              <w:t>6</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59353C">
              <w:rPr>
                <w:rFonts w:hint="cs"/>
                <w:color w:val="000000"/>
                <w:sz w:val="24"/>
                <w:szCs w:val="24"/>
                <w:highlight w:val="yellow"/>
                <w:rtl/>
              </w:rPr>
              <w:t>8</w:t>
            </w:r>
            <w:r w:rsidR="00603F66" w:rsidRPr="000744B5">
              <w:rPr>
                <w:rFonts w:hint="cs"/>
                <w:color w:val="000000"/>
                <w:sz w:val="24"/>
                <w:szCs w:val="24"/>
                <w:highlight w:val="yellow"/>
                <w:rtl/>
              </w:rPr>
              <w:t>/202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lastRenderedPageBreak/>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w:t>
            </w:r>
            <w:r w:rsidRPr="00FB1F7D">
              <w:rPr>
                <w:rFonts w:hint="cs"/>
                <w:b/>
                <w:bCs/>
                <w:szCs w:val="24"/>
                <w:rtl/>
                <w:lang w:bidi="ar-IQ"/>
              </w:rPr>
              <w:lastRenderedPageBreak/>
              <w:t xml:space="preserve">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 xml:space="preserve">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w:t>
            </w:r>
            <w:r w:rsidR="0040016A">
              <w:rPr>
                <w:rFonts w:hint="cs"/>
                <w:color w:val="000000"/>
                <w:szCs w:val="24"/>
                <w:rtl/>
                <w:lang w:bidi="ar-IQ"/>
              </w:rPr>
              <w:lastRenderedPageBreak/>
              <w:t>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FC3ACC"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062E8A" w:rsidRDefault="00062E8A"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FC3ACC"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FC3ACC"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062E8A" w:rsidRDefault="00062E8A"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FC3ACC"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 xml:space="preserve">في حال كان حكم المحكمة المختصة مخالفاً لقرار جهة التعاقد التي استمرت بإجراءات التعاقد فلمقدم العطاء الذي طعن مراجعة </w:t>
            </w:r>
            <w:r w:rsidRPr="00825AE7">
              <w:rPr>
                <w:rFonts w:hint="cs"/>
                <w:color w:val="000000"/>
                <w:sz w:val="24"/>
                <w:szCs w:val="24"/>
                <w:rtl/>
              </w:rPr>
              <w:lastRenderedPageBreak/>
              <w:t>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FF3AD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FF3AD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FF3AD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FF3AD9">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FF3AD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FF3A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FF3A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FF3A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FF3AD9">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FF3AD9">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FF3AD9">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FF3AD9">
                  <w:pPr>
                    <w:pStyle w:val="ListParagraph"/>
                    <w:framePr w:hSpace="180" w:wrap="around" w:vAnchor="text" w:hAnchor="margin" w:x="-318" w:y="679"/>
                    <w:numPr>
                      <w:ilvl w:val="0"/>
                      <w:numId w:val="91"/>
                    </w:numPr>
                    <w:bidi/>
                    <w:jc w:val="left"/>
                    <w:rPr>
                      <w:rtl/>
                    </w:rPr>
                  </w:pPr>
                  <w:r w:rsidRPr="00703721">
                    <w:rPr>
                      <w:rFonts w:hint="cs"/>
                      <w:rtl/>
                    </w:rPr>
                    <w:t xml:space="preserve">المنع بموجب قرارات الامم </w:t>
                  </w:r>
                  <w:r w:rsidRPr="00703721">
                    <w:rPr>
                      <w:rFonts w:hint="cs"/>
                      <w:rtl/>
                    </w:rPr>
                    <w:lastRenderedPageBreak/>
                    <w:t>المتحدة ومجلس الامن الدولي .</w:t>
                  </w:r>
                </w:p>
              </w:tc>
              <w:tc>
                <w:tcPr>
                  <w:tcW w:w="2305" w:type="dxa"/>
                  <w:shd w:val="clear" w:color="auto" w:fill="auto"/>
                </w:tcPr>
                <w:p w:rsidR="00212FFB" w:rsidRPr="00703721" w:rsidRDefault="00212FFB" w:rsidP="00FF3AD9">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FF3AD9">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rsidR="00212FFB" w:rsidRPr="00703721" w:rsidRDefault="00212FFB" w:rsidP="00FF3AD9">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F3AD9">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FF3AD9">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FF3AD9">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F3AD9">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FF3AD9">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FF3AD9">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FF3AD9">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F3AD9">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FF3AD9">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FF3A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FF3AD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FF3AD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FF3AD9">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FF3AD9">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FF3AD9">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FF3AD9">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FF3AD9">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FF3AD9">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FF3A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FF3AD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FF3AD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FF3AD9">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FF3AD9">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FF3AD9">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FF3AD9">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FF3AD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FF3A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FF3A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FF3AD9">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FF3AD9">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rsidR="00212FFB" w:rsidRPr="00703721" w:rsidRDefault="00212FFB" w:rsidP="00FF3AD9">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FF3AD9">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FF3AD9">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FF3AD9">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FF3AD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FF3A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FF3A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FF3A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FF3A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FF3A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FF3A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xml:space="preserve">)  المشار </w:t>
            </w:r>
            <w:r w:rsidRPr="00703721">
              <w:rPr>
                <w:rFonts w:hint="cs"/>
                <w:spacing w:val="-16"/>
                <w:szCs w:val="24"/>
                <w:rtl/>
                <w:lang w:bidi="ar-IQ"/>
              </w:rPr>
              <w:lastRenderedPageBreak/>
              <w:t>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66998" w:rsidRPr="006F42FC" w:rsidTr="00062E8A">
        <w:tc>
          <w:tcPr>
            <w:tcW w:w="720" w:type="dxa"/>
            <w:shd w:val="clear" w:color="auto" w:fill="BFBFBF"/>
            <w:vAlign w:val="center"/>
          </w:tcPr>
          <w:p w:rsidR="00766998" w:rsidRDefault="00766998" w:rsidP="001C36DB">
            <w:pPr>
              <w:bidi/>
              <w:spacing w:after="0" w:line="260" w:lineRule="exact"/>
              <w:rPr>
                <w:rFonts w:ascii="Times New Roman" w:hAnsi="Times New Roman" w:cs="Times New Roman"/>
                <w:b/>
                <w:bCs/>
                <w:color w:val="000000"/>
                <w:rtl/>
              </w:rPr>
            </w:pPr>
            <w:r>
              <w:rPr>
                <w:rFonts w:ascii="Times New Roman" w:hAnsi="Times New Roman" w:cs="Times New Roman" w:hint="cs"/>
                <w:b/>
                <w:bCs/>
                <w:color w:val="000000"/>
                <w:rtl/>
              </w:rPr>
              <w:t>1</w:t>
            </w:r>
          </w:p>
        </w:tc>
        <w:tc>
          <w:tcPr>
            <w:tcW w:w="450"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766998" w:rsidRPr="000E68BE" w:rsidRDefault="00766998" w:rsidP="00AE0255">
            <w:r w:rsidRPr="000E68BE">
              <w:t>15-AA0-020</w:t>
            </w:r>
          </w:p>
        </w:tc>
        <w:tc>
          <w:tcPr>
            <w:tcW w:w="2555" w:type="dxa"/>
            <w:shd w:val="clear" w:color="auto" w:fill="BFBFBF"/>
          </w:tcPr>
          <w:p w:rsidR="00766998" w:rsidRPr="000E68BE" w:rsidRDefault="00766998" w:rsidP="00AE0255">
            <w:r w:rsidRPr="000E68BE">
              <w:t>Mesna  100mg/ml, (4ml) Injection vial or ampoule                1214</w:t>
            </w:r>
          </w:p>
        </w:tc>
        <w:tc>
          <w:tcPr>
            <w:tcW w:w="566"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66998"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66998"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66998"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66998" w:rsidRPr="006F42FC" w:rsidRDefault="00766998"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FC3ACC"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ACC" w:rsidRDefault="00FC3ACC" w:rsidP="00400881">
      <w:pPr>
        <w:spacing w:after="0" w:line="240" w:lineRule="auto"/>
      </w:pPr>
      <w:r>
        <w:separator/>
      </w:r>
    </w:p>
  </w:endnote>
  <w:endnote w:type="continuationSeparator" w:id="0">
    <w:p w:rsidR="00FC3ACC" w:rsidRDefault="00FC3AC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062E8A" w:rsidRPr="00D1391E" w:rsidRDefault="00062E8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81867">
          <w:rPr>
            <w:noProof/>
            <w:sz w:val="24"/>
            <w:szCs w:val="24"/>
          </w:rPr>
          <w:t>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ACC" w:rsidRDefault="00FC3ACC" w:rsidP="00400881">
      <w:pPr>
        <w:spacing w:after="0" w:line="240" w:lineRule="auto"/>
      </w:pPr>
      <w:r>
        <w:separator/>
      </w:r>
    </w:p>
  </w:footnote>
  <w:footnote w:type="continuationSeparator" w:id="0">
    <w:p w:rsidR="00FC3ACC" w:rsidRDefault="00FC3ACC" w:rsidP="00400881">
      <w:pPr>
        <w:spacing w:after="0" w:line="240" w:lineRule="auto"/>
      </w:pPr>
      <w:r>
        <w:continuationSeparator/>
      </w:r>
    </w:p>
  </w:footnote>
  <w:footnote w:id="1">
    <w:p w:rsidR="00062E8A" w:rsidRPr="00E00D5D" w:rsidRDefault="00062E8A"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062E8A" w:rsidRPr="003D09C4" w:rsidRDefault="00062E8A"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E8A" w:rsidRDefault="00062E8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062E8A" w:rsidRDefault="00062E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E8A" w:rsidRDefault="00062E8A"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5042"/>
    <w:rsid w:val="00056AA6"/>
    <w:rsid w:val="00060393"/>
    <w:rsid w:val="00062E8A"/>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369D"/>
    <w:rsid w:val="000E517D"/>
    <w:rsid w:val="000F2F05"/>
    <w:rsid w:val="00101766"/>
    <w:rsid w:val="001019D3"/>
    <w:rsid w:val="00111594"/>
    <w:rsid w:val="001204A9"/>
    <w:rsid w:val="00120A23"/>
    <w:rsid w:val="00120DE8"/>
    <w:rsid w:val="00125515"/>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C36DB"/>
    <w:rsid w:val="001D18A5"/>
    <w:rsid w:val="001D364D"/>
    <w:rsid w:val="001D4346"/>
    <w:rsid w:val="001F39A8"/>
    <w:rsid w:val="001F4EA1"/>
    <w:rsid w:val="001F5027"/>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5E41"/>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5E16"/>
    <w:rsid w:val="002D3D23"/>
    <w:rsid w:val="002D467D"/>
    <w:rsid w:val="002D4EAB"/>
    <w:rsid w:val="002D7825"/>
    <w:rsid w:val="002F062E"/>
    <w:rsid w:val="002F276D"/>
    <w:rsid w:val="002F42A5"/>
    <w:rsid w:val="002F6B8F"/>
    <w:rsid w:val="003007F1"/>
    <w:rsid w:val="00301627"/>
    <w:rsid w:val="00302D64"/>
    <w:rsid w:val="00302DD5"/>
    <w:rsid w:val="00303F98"/>
    <w:rsid w:val="00304FC3"/>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10331"/>
    <w:rsid w:val="004106A6"/>
    <w:rsid w:val="00411FFA"/>
    <w:rsid w:val="004149D0"/>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2689"/>
    <w:rsid w:val="00574CA6"/>
    <w:rsid w:val="0058354E"/>
    <w:rsid w:val="00587585"/>
    <w:rsid w:val="0059353C"/>
    <w:rsid w:val="00594D13"/>
    <w:rsid w:val="005A0FC9"/>
    <w:rsid w:val="005A2DDF"/>
    <w:rsid w:val="005A6216"/>
    <w:rsid w:val="005B05F9"/>
    <w:rsid w:val="005B33C3"/>
    <w:rsid w:val="005B3C7B"/>
    <w:rsid w:val="005B402F"/>
    <w:rsid w:val="005C6FB9"/>
    <w:rsid w:val="005D16A4"/>
    <w:rsid w:val="005D27E8"/>
    <w:rsid w:val="005D5F5C"/>
    <w:rsid w:val="005D6D94"/>
    <w:rsid w:val="005E66BE"/>
    <w:rsid w:val="005F063C"/>
    <w:rsid w:val="005F27D6"/>
    <w:rsid w:val="0060180D"/>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37E"/>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0870"/>
    <w:rsid w:val="006F20C3"/>
    <w:rsid w:val="006F348A"/>
    <w:rsid w:val="00701901"/>
    <w:rsid w:val="00703721"/>
    <w:rsid w:val="00706B5D"/>
    <w:rsid w:val="00711762"/>
    <w:rsid w:val="007143D2"/>
    <w:rsid w:val="00717A4F"/>
    <w:rsid w:val="007216D7"/>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66998"/>
    <w:rsid w:val="00773CAA"/>
    <w:rsid w:val="0077480E"/>
    <w:rsid w:val="007754AA"/>
    <w:rsid w:val="00781EC7"/>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E7E84"/>
    <w:rsid w:val="007F0F9F"/>
    <w:rsid w:val="007F2565"/>
    <w:rsid w:val="007F3A04"/>
    <w:rsid w:val="007F46DD"/>
    <w:rsid w:val="007F7F21"/>
    <w:rsid w:val="0080634B"/>
    <w:rsid w:val="00806889"/>
    <w:rsid w:val="00806D87"/>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84B"/>
    <w:rsid w:val="00923AA7"/>
    <w:rsid w:val="00935A41"/>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1867"/>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30F54"/>
    <w:rsid w:val="00A32742"/>
    <w:rsid w:val="00A404F4"/>
    <w:rsid w:val="00A46F40"/>
    <w:rsid w:val="00A54F20"/>
    <w:rsid w:val="00A61F74"/>
    <w:rsid w:val="00A63ABA"/>
    <w:rsid w:val="00A647CF"/>
    <w:rsid w:val="00A72547"/>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1414"/>
    <w:rsid w:val="00B23056"/>
    <w:rsid w:val="00B25B4B"/>
    <w:rsid w:val="00B25D75"/>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CF293D"/>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449E"/>
    <w:rsid w:val="00DB5A1F"/>
    <w:rsid w:val="00DC1578"/>
    <w:rsid w:val="00DD0E7B"/>
    <w:rsid w:val="00DD5C6D"/>
    <w:rsid w:val="00DE09FB"/>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0D00"/>
    <w:rsid w:val="00EF360C"/>
    <w:rsid w:val="00EF6F71"/>
    <w:rsid w:val="00F0225B"/>
    <w:rsid w:val="00F03D1A"/>
    <w:rsid w:val="00F10C65"/>
    <w:rsid w:val="00F12742"/>
    <w:rsid w:val="00F1698D"/>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ACC"/>
    <w:rsid w:val="00FC3C26"/>
    <w:rsid w:val="00FC6719"/>
    <w:rsid w:val="00FD2B40"/>
    <w:rsid w:val="00FD2C2C"/>
    <w:rsid w:val="00FD3113"/>
    <w:rsid w:val="00FE20FA"/>
    <w:rsid w:val="00FE7616"/>
    <w:rsid w:val="00FF3AD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18827389">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36026352">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0375727">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1781174">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7C970-E58B-4F49-88AC-DC4AAE4C9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114</Pages>
  <Words>30228</Words>
  <Characters>172301</Characters>
  <Application>Microsoft Office Word</Application>
  <DocSecurity>0</DocSecurity>
  <Lines>1435</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141</cp:revision>
  <cp:lastPrinted>2022-01-19T07:17:00Z</cp:lastPrinted>
  <dcterms:created xsi:type="dcterms:W3CDTF">2023-04-05T07:27:00Z</dcterms:created>
  <dcterms:modified xsi:type="dcterms:W3CDTF">2024-07-21T07:10:00Z</dcterms:modified>
</cp:coreProperties>
</file>